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E59975" w14:textId="77777777" w:rsidR="00731732" w:rsidRPr="00646C5D" w:rsidRDefault="00731732" w:rsidP="00731732">
      <w:pPr>
        <w:pStyle w:val="3GPPHeader"/>
        <w:spacing w:after="60"/>
      </w:pPr>
      <w:bookmarkStart w:id="0" w:name="_GoBack"/>
      <w:bookmarkEnd w:id="0"/>
    </w:p>
    <w:p w14:paraId="17A2180F" w14:textId="16FBCC56" w:rsidR="00D14C41" w:rsidRPr="00CE0424" w:rsidRDefault="00D14C41" w:rsidP="00D14C41">
      <w:pPr>
        <w:pStyle w:val="3GPPHeader"/>
        <w:spacing w:after="60"/>
        <w:rPr>
          <w:sz w:val="32"/>
          <w:szCs w:val="32"/>
          <w:highlight w:val="yellow"/>
        </w:rPr>
      </w:pPr>
      <w:r w:rsidRPr="00CE0424">
        <w:t>3GPP TSG-RAN WG</w:t>
      </w:r>
      <w:r>
        <w:t>2</w:t>
      </w:r>
      <w:r w:rsidRPr="00CE0424">
        <w:t xml:space="preserve"> #</w:t>
      </w:r>
      <w:r>
        <w:t>99</w:t>
      </w:r>
      <w:r w:rsidRPr="00CE0424">
        <w:tab/>
      </w:r>
      <w:proofErr w:type="spellStart"/>
      <w:r w:rsidRPr="00CE0424">
        <w:rPr>
          <w:sz w:val="32"/>
          <w:szCs w:val="32"/>
        </w:rPr>
        <w:t>Tdoc</w:t>
      </w:r>
      <w:proofErr w:type="spellEnd"/>
      <w:r w:rsidRPr="00CE0424">
        <w:rPr>
          <w:sz w:val="32"/>
          <w:szCs w:val="32"/>
        </w:rPr>
        <w:t xml:space="preserve"> R2-1</w:t>
      </w:r>
      <w:r>
        <w:rPr>
          <w:sz w:val="32"/>
          <w:szCs w:val="32"/>
        </w:rPr>
        <w:t>7</w:t>
      </w:r>
      <w:r w:rsidR="00505D37">
        <w:rPr>
          <w:sz w:val="32"/>
          <w:szCs w:val="32"/>
        </w:rPr>
        <w:t>08348</w:t>
      </w:r>
    </w:p>
    <w:p w14:paraId="4081A8D4" w14:textId="77777777" w:rsidR="00D14C41" w:rsidRPr="00CE0424" w:rsidRDefault="00D14C41" w:rsidP="00D14C41">
      <w:pPr>
        <w:pStyle w:val="3GPPHeader"/>
      </w:pPr>
      <w:r>
        <w:t>Berlin</w:t>
      </w:r>
      <w:r w:rsidRPr="00631CA0">
        <w:t xml:space="preserve">, </w:t>
      </w:r>
      <w:r>
        <w:t>Germany</w:t>
      </w:r>
      <w:r w:rsidRPr="00631CA0">
        <w:t>, 2</w:t>
      </w:r>
      <w:r>
        <w:t>1</w:t>
      </w:r>
      <w:r w:rsidRPr="0099024F">
        <w:rPr>
          <w:vertAlign w:val="superscript"/>
        </w:rPr>
        <w:t>st</w:t>
      </w:r>
      <w:r>
        <w:t xml:space="preserve"> </w:t>
      </w:r>
      <w:r w:rsidRPr="00631CA0">
        <w:t>– 2</w:t>
      </w:r>
      <w:r>
        <w:t>5</w:t>
      </w:r>
      <w:r w:rsidRPr="00631CA0">
        <w:rPr>
          <w:vertAlign w:val="superscript"/>
        </w:rPr>
        <w:t>th</w:t>
      </w:r>
      <w:r>
        <w:t xml:space="preserve"> August </w:t>
      </w:r>
      <w:r w:rsidRPr="00631CA0">
        <w:t>2017</w:t>
      </w:r>
    </w:p>
    <w:p w14:paraId="49369B64" w14:textId="77777777" w:rsidR="00D14C41" w:rsidRPr="00CE0424" w:rsidRDefault="00D14C41" w:rsidP="00D14C41">
      <w:pPr>
        <w:pStyle w:val="3GPPHeader"/>
      </w:pPr>
    </w:p>
    <w:p w14:paraId="4EF42504" w14:textId="3E26783F" w:rsidR="00D14C41" w:rsidRPr="007A491E" w:rsidRDefault="00D14C41" w:rsidP="00D14C41">
      <w:pPr>
        <w:pStyle w:val="3GPPHeader"/>
        <w:rPr>
          <w:sz w:val="22"/>
          <w:szCs w:val="22"/>
          <w:lang w:val="en-US"/>
        </w:rPr>
      </w:pPr>
      <w:r w:rsidRPr="007A491E">
        <w:rPr>
          <w:sz w:val="22"/>
          <w:szCs w:val="22"/>
          <w:lang w:val="en-US"/>
        </w:rPr>
        <w:t>Agenda Item:</w:t>
      </w:r>
      <w:r w:rsidRPr="007A491E">
        <w:rPr>
          <w:sz w:val="22"/>
          <w:szCs w:val="22"/>
          <w:lang w:val="en-US"/>
        </w:rPr>
        <w:tab/>
      </w:r>
      <w:r w:rsidR="00505D37" w:rsidRPr="007A491E">
        <w:rPr>
          <w:sz w:val="22"/>
          <w:szCs w:val="22"/>
          <w:lang w:val="en-US"/>
        </w:rPr>
        <w:t>10.3.1.6</w:t>
      </w:r>
    </w:p>
    <w:p w14:paraId="073CF48E" w14:textId="77777777" w:rsidR="00D14C41" w:rsidRPr="00CE0424" w:rsidRDefault="00D14C41" w:rsidP="00D14C41">
      <w:pPr>
        <w:pStyle w:val="3GPPHeader"/>
        <w:rPr>
          <w:sz w:val="22"/>
          <w:szCs w:val="22"/>
        </w:rPr>
      </w:pPr>
      <w:r>
        <w:rPr>
          <w:sz w:val="22"/>
          <w:szCs w:val="22"/>
        </w:rPr>
        <w:t>Source:</w:t>
      </w:r>
      <w:r w:rsidRPr="00CE0424">
        <w:rPr>
          <w:sz w:val="22"/>
          <w:szCs w:val="22"/>
        </w:rPr>
        <w:tab/>
        <w:t>Ericsson</w:t>
      </w:r>
    </w:p>
    <w:p w14:paraId="487EA6DB" w14:textId="1E69982B" w:rsidR="00D14C41" w:rsidRPr="00CE0424" w:rsidRDefault="00D14C41" w:rsidP="00D14C41">
      <w:pPr>
        <w:pStyle w:val="3GPPHeader"/>
        <w:rPr>
          <w:sz w:val="22"/>
          <w:szCs w:val="22"/>
        </w:rPr>
      </w:pPr>
      <w:r>
        <w:rPr>
          <w:sz w:val="22"/>
          <w:szCs w:val="22"/>
        </w:rPr>
        <w:t>Title:</w:t>
      </w:r>
      <w:r w:rsidRPr="00CE0424">
        <w:rPr>
          <w:sz w:val="22"/>
          <w:szCs w:val="22"/>
        </w:rPr>
        <w:tab/>
      </w:r>
      <w:r>
        <w:rPr>
          <w:sz w:val="22"/>
          <w:szCs w:val="22"/>
        </w:rPr>
        <w:t xml:space="preserve">Further aspects </w:t>
      </w:r>
      <w:r w:rsidR="009E5276">
        <w:rPr>
          <w:sz w:val="22"/>
          <w:szCs w:val="22"/>
        </w:rPr>
        <w:t>on</w:t>
      </w:r>
      <w:r>
        <w:rPr>
          <w:sz w:val="22"/>
          <w:szCs w:val="22"/>
        </w:rPr>
        <w:t xml:space="preserve"> B</w:t>
      </w:r>
      <w:r w:rsidR="000E2A9E">
        <w:rPr>
          <w:sz w:val="22"/>
          <w:szCs w:val="22"/>
        </w:rPr>
        <w:t xml:space="preserve">SR transmission and </w:t>
      </w:r>
      <w:r w:rsidR="009E5276">
        <w:rPr>
          <w:sz w:val="22"/>
          <w:szCs w:val="22"/>
        </w:rPr>
        <w:t>cancellation</w:t>
      </w:r>
    </w:p>
    <w:p w14:paraId="7E3D5BCF" w14:textId="0F83385E" w:rsidR="00731732" w:rsidRDefault="00D14C41" w:rsidP="00D14C41">
      <w:pPr>
        <w:pStyle w:val="3GPPHeader"/>
        <w:rPr>
          <w:sz w:val="22"/>
          <w:szCs w:val="22"/>
        </w:rPr>
      </w:pPr>
      <w:r w:rsidRPr="00CE0424">
        <w:rPr>
          <w:sz w:val="22"/>
          <w:szCs w:val="22"/>
        </w:rPr>
        <w:t>Document for:</w:t>
      </w:r>
      <w:r w:rsidRPr="00CE0424">
        <w:rPr>
          <w:sz w:val="22"/>
          <w:szCs w:val="22"/>
        </w:rPr>
        <w:tab/>
      </w:r>
      <w:r w:rsidRPr="007A491E">
        <w:rPr>
          <w:sz w:val="22"/>
          <w:szCs w:val="22"/>
        </w:rPr>
        <w:t>Discussion, Decision</w:t>
      </w:r>
    </w:p>
    <w:p w14:paraId="12F8135B" w14:textId="77777777" w:rsidR="00731732" w:rsidRPr="00646C5D" w:rsidRDefault="00731732" w:rsidP="00731732">
      <w:pPr>
        <w:pStyle w:val="Heading1"/>
        <w:numPr>
          <w:ilvl w:val="0"/>
          <w:numId w:val="16"/>
        </w:numPr>
        <w:textAlignment w:val="auto"/>
      </w:pPr>
      <w:r w:rsidRPr="00646C5D">
        <w:t>Introduction</w:t>
      </w:r>
    </w:p>
    <w:p w14:paraId="520B46F9" w14:textId="77777777" w:rsidR="00731732" w:rsidRPr="00646C5D" w:rsidRDefault="00731732" w:rsidP="00731732">
      <w:r w:rsidRPr="00646C5D">
        <w:rPr>
          <w:bCs/>
        </w:rPr>
        <w:t xml:space="preserve">Uplink scheduling is a key functionality to meet a broad range of use cases including enhanced mobile broadband, massive MTC, critical MTC, and additional requirements defined during the RAN requirements study. Details to how this functionality can be designed, compared to the baseline framework of LTE is discussed in contributions. </w:t>
      </w:r>
    </w:p>
    <w:p w14:paraId="15AEB226" w14:textId="7676D163" w:rsidR="00731732" w:rsidRPr="00646C5D" w:rsidRDefault="00731732" w:rsidP="00731732">
      <w:pPr>
        <w:rPr>
          <w:bCs/>
        </w:rPr>
      </w:pPr>
      <w:r w:rsidRPr="00646C5D">
        <w:rPr>
          <w:bCs/>
        </w:rPr>
        <w:t>In RAN2</w:t>
      </w:r>
      <w:r w:rsidR="000B0422">
        <w:rPr>
          <w:bCs/>
        </w:rPr>
        <w:t>#</w:t>
      </w:r>
      <w:r w:rsidRPr="00646C5D">
        <w:rPr>
          <w:bCs/>
        </w:rPr>
        <w:t xml:space="preserve">98 some agreements related to BSR were reached. </w:t>
      </w:r>
    </w:p>
    <w:p w14:paraId="69F520A9" w14:textId="77777777" w:rsidR="00731732" w:rsidRPr="000F3585" w:rsidRDefault="00731732" w:rsidP="00731732">
      <w:pPr>
        <w:pStyle w:val="Doc-text2"/>
        <w:pBdr>
          <w:top w:val="single" w:sz="4" w:space="1" w:color="auto"/>
          <w:left w:val="single" w:sz="4" w:space="4" w:color="auto"/>
          <w:bottom w:val="single" w:sz="4" w:space="1" w:color="auto"/>
          <w:right w:val="single" w:sz="4" w:space="4" w:color="auto"/>
        </w:pBdr>
      </w:pPr>
      <w:r w:rsidRPr="000F3585">
        <w:t>Agreements</w:t>
      </w:r>
    </w:p>
    <w:p w14:paraId="7BF2F0D2" w14:textId="77777777" w:rsidR="00731732" w:rsidRPr="00646C5D" w:rsidRDefault="00731732" w:rsidP="00731732">
      <w:pPr>
        <w:pStyle w:val="Doc-text2"/>
        <w:numPr>
          <w:ilvl w:val="0"/>
          <w:numId w:val="41"/>
        </w:numPr>
        <w:pBdr>
          <w:top w:val="single" w:sz="4" w:space="1" w:color="auto"/>
          <w:left w:val="single" w:sz="4" w:space="4" w:color="auto"/>
          <w:bottom w:val="single" w:sz="4" w:space="1" w:color="auto"/>
          <w:right w:val="single" w:sz="4" w:space="4" w:color="auto"/>
        </w:pBdr>
      </w:pPr>
      <w:r w:rsidRPr="00646C5D">
        <w:t xml:space="preserve">The number of LCGs will be increased up to 8.  </w:t>
      </w:r>
    </w:p>
    <w:p w14:paraId="320DAB0A" w14:textId="77777777" w:rsidR="00731732" w:rsidRPr="00646C5D" w:rsidRDefault="00731732" w:rsidP="00731732">
      <w:pPr>
        <w:pStyle w:val="Doc-text2"/>
        <w:numPr>
          <w:ilvl w:val="0"/>
          <w:numId w:val="41"/>
        </w:numPr>
        <w:pBdr>
          <w:top w:val="single" w:sz="4" w:space="1" w:color="auto"/>
          <w:left w:val="single" w:sz="4" w:space="4" w:color="auto"/>
          <w:bottom w:val="single" w:sz="4" w:space="1" w:color="auto"/>
          <w:right w:val="single" w:sz="4" w:space="4" w:color="auto"/>
        </w:pBdr>
      </w:pPr>
      <w:r w:rsidRPr="00646C5D">
        <w:t xml:space="preserve">The concept of </w:t>
      </w:r>
      <w:proofErr w:type="spellStart"/>
      <w:r w:rsidRPr="00646C5D">
        <w:rPr>
          <w:i/>
        </w:rPr>
        <w:t>periodicBSR</w:t>
      </w:r>
      <w:proofErr w:type="spellEnd"/>
      <w:r w:rsidRPr="00646C5D">
        <w:rPr>
          <w:i/>
        </w:rPr>
        <w:t>-timer</w:t>
      </w:r>
      <w:r w:rsidRPr="00646C5D">
        <w:t xml:space="preserve"> and </w:t>
      </w:r>
      <w:proofErr w:type="spellStart"/>
      <w:r w:rsidRPr="00646C5D">
        <w:rPr>
          <w:i/>
        </w:rPr>
        <w:t>retx-BSRtimers</w:t>
      </w:r>
      <w:proofErr w:type="spellEnd"/>
      <w:r w:rsidRPr="00646C5D">
        <w:t xml:space="preserve"> are reused and are configured per MAC entity </w:t>
      </w:r>
    </w:p>
    <w:p w14:paraId="5167771F" w14:textId="77777777" w:rsidR="00731732" w:rsidRPr="00646C5D" w:rsidRDefault="00731732" w:rsidP="00731732">
      <w:pPr>
        <w:pStyle w:val="Doc-text2"/>
        <w:numPr>
          <w:ilvl w:val="0"/>
          <w:numId w:val="41"/>
        </w:numPr>
        <w:pBdr>
          <w:top w:val="single" w:sz="4" w:space="1" w:color="auto"/>
          <w:left w:val="single" w:sz="4" w:space="4" w:color="auto"/>
          <w:bottom w:val="single" w:sz="4" w:space="1" w:color="auto"/>
          <w:right w:val="single" w:sz="4" w:space="4" w:color="auto"/>
        </w:pBdr>
      </w:pPr>
      <w:r w:rsidRPr="00646C5D">
        <w:t xml:space="preserve">As a baseline, the concept of </w:t>
      </w:r>
      <w:proofErr w:type="spellStart"/>
      <w:r w:rsidRPr="00646C5D">
        <w:t>logicalChannelSR-ProhibitTimer</w:t>
      </w:r>
      <w:proofErr w:type="spellEnd"/>
      <w:r w:rsidRPr="00646C5D">
        <w:t xml:space="preserve"> is reused in NR. It is allowed to configured infinite value for this timer.</w:t>
      </w:r>
    </w:p>
    <w:p w14:paraId="0951CDF6" w14:textId="77777777" w:rsidR="00731732" w:rsidRPr="00646C5D" w:rsidRDefault="00731732" w:rsidP="00731732">
      <w:pPr>
        <w:pStyle w:val="Doc-text2"/>
        <w:numPr>
          <w:ilvl w:val="0"/>
          <w:numId w:val="41"/>
        </w:numPr>
        <w:pBdr>
          <w:top w:val="single" w:sz="4" w:space="1" w:color="auto"/>
          <w:left w:val="single" w:sz="4" w:space="4" w:color="auto"/>
          <w:bottom w:val="single" w:sz="4" w:space="1" w:color="auto"/>
          <w:right w:val="single" w:sz="4" w:space="4" w:color="auto"/>
        </w:pBdr>
      </w:pPr>
      <w:r w:rsidRPr="00646C5D">
        <w:t xml:space="preserve">The </w:t>
      </w:r>
      <w:proofErr w:type="spellStart"/>
      <w:r w:rsidRPr="00646C5D">
        <w:t>logicalChannelSR</w:t>
      </w:r>
      <w:proofErr w:type="spellEnd"/>
      <w:r w:rsidRPr="00646C5D">
        <w:t xml:space="preserve">-Mask is supported </w:t>
      </w:r>
    </w:p>
    <w:p w14:paraId="1BA1790A" w14:textId="77777777" w:rsidR="000F3585" w:rsidRDefault="000F3585" w:rsidP="000F3585">
      <w:pPr>
        <w:pStyle w:val="Header"/>
        <w:rPr>
          <w:bCs w:val="0"/>
        </w:rPr>
      </w:pPr>
    </w:p>
    <w:p w14:paraId="225706D9" w14:textId="3DC1E174" w:rsidR="00731732" w:rsidRDefault="000F3585" w:rsidP="000F3585">
      <w:pPr>
        <w:pStyle w:val="Header"/>
        <w:rPr>
          <w:b w:val="0"/>
          <w:bCs w:val="0"/>
          <w:sz w:val="20"/>
          <w:lang w:val="en-GB"/>
        </w:rPr>
      </w:pPr>
      <w:r w:rsidRPr="000F3585">
        <w:rPr>
          <w:b w:val="0"/>
          <w:bCs w:val="0"/>
          <w:sz w:val="20"/>
        </w:rPr>
        <w:t xml:space="preserve">In RAN2#AdHoc held on </w:t>
      </w:r>
      <w:r w:rsidRPr="000F3585">
        <w:rPr>
          <w:b w:val="0"/>
          <w:sz w:val="20"/>
          <w:lang w:val="en-GB"/>
        </w:rPr>
        <w:t>27th – 29th June 2017</w:t>
      </w:r>
      <w:r>
        <w:rPr>
          <w:b w:val="0"/>
          <w:bCs w:val="0"/>
          <w:sz w:val="20"/>
          <w:lang w:val="en-GB"/>
        </w:rPr>
        <w:t>, some agreements related to the BSR triggers were made</w:t>
      </w:r>
    </w:p>
    <w:p w14:paraId="01841521" w14:textId="77777777" w:rsidR="000F3585" w:rsidRDefault="000F3585" w:rsidP="000F3585">
      <w:pPr>
        <w:pStyle w:val="Doc-text2"/>
        <w:pBdr>
          <w:top w:val="single" w:sz="4" w:space="1" w:color="auto"/>
          <w:left w:val="single" w:sz="4" w:space="4" w:color="auto"/>
          <w:bottom w:val="single" w:sz="4" w:space="1" w:color="auto"/>
          <w:right w:val="single" w:sz="4" w:space="4" w:color="auto"/>
        </w:pBdr>
      </w:pPr>
      <w:r>
        <w:t>Agreements</w:t>
      </w:r>
    </w:p>
    <w:p w14:paraId="432B53E0" w14:textId="77777777" w:rsidR="000F3585" w:rsidRDefault="000F3585" w:rsidP="000F3585">
      <w:pPr>
        <w:pStyle w:val="Doc-text2"/>
        <w:pBdr>
          <w:top w:val="single" w:sz="4" w:space="1" w:color="auto"/>
          <w:left w:val="single" w:sz="4" w:space="4" w:color="auto"/>
          <w:bottom w:val="single" w:sz="4" w:space="1" w:color="auto"/>
          <w:right w:val="single" w:sz="4" w:space="4" w:color="auto"/>
        </w:pBdr>
      </w:pPr>
      <w:r>
        <w:t>=&gt;</w:t>
      </w:r>
      <w:r>
        <w:tab/>
        <w:t xml:space="preserve">No new BSR triggers in addition to LTE are needed </w:t>
      </w:r>
    </w:p>
    <w:p w14:paraId="51F30139" w14:textId="7B939ED0" w:rsidR="000F3585" w:rsidRDefault="000F3585" w:rsidP="000F3585">
      <w:pPr>
        <w:pStyle w:val="Header"/>
        <w:rPr>
          <w:b w:val="0"/>
          <w:sz w:val="20"/>
          <w:lang w:val="en-GB"/>
        </w:rPr>
      </w:pPr>
    </w:p>
    <w:p w14:paraId="69409B21" w14:textId="51B82A0B" w:rsidR="001A25BE" w:rsidRPr="000F3585" w:rsidRDefault="001A25BE" w:rsidP="000F3585">
      <w:pPr>
        <w:pStyle w:val="Header"/>
        <w:rPr>
          <w:b w:val="0"/>
          <w:sz w:val="20"/>
          <w:lang w:val="en-GB"/>
        </w:rPr>
      </w:pPr>
      <w:r>
        <w:rPr>
          <w:b w:val="0"/>
          <w:sz w:val="20"/>
          <w:lang w:val="en-GB"/>
        </w:rPr>
        <w:t xml:space="preserve">Being based on the LTE triggers as a baseline for NR, this contribution discusses the further potential enhancements for BSR triggers to better support multiple numerologies. </w:t>
      </w:r>
      <w:r w:rsidR="001577AC">
        <w:rPr>
          <w:b w:val="0"/>
          <w:sz w:val="20"/>
          <w:lang w:val="en-GB"/>
        </w:rPr>
        <w:t>BSR formats are discussed in [1].</w:t>
      </w:r>
    </w:p>
    <w:p w14:paraId="639733D7" w14:textId="5E8B0F02" w:rsidR="00731732" w:rsidRDefault="00731732" w:rsidP="00731732">
      <w:pPr>
        <w:pStyle w:val="Heading1"/>
        <w:numPr>
          <w:ilvl w:val="0"/>
          <w:numId w:val="16"/>
        </w:numPr>
        <w:textAlignment w:val="auto"/>
      </w:pPr>
      <w:bookmarkStart w:id="1" w:name="_Ref178064866"/>
      <w:r w:rsidRPr="00646C5D">
        <w:t>Discussion</w:t>
      </w:r>
      <w:bookmarkEnd w:id="1"/>
    </w:p>
    <w:p w14:paraId="3561A9E3" w14:textId="3C861A86" w:rsidR="00C42000" w:rsidRDefault="00C42000" w:rsidP="00731732">
      <w:pPr>
        <w:pStyle w:val="Heading2"/>
      </w:pPr>
      <w:bookmarkStart w:id="2" w:name="_Toc477984910"/>
      <w:bookmarkStart w:id="3" w:name="_Toc477984963"/>
      <w:bookmarkStart w:id="4" w:name="_Toc477985624"/>
      <w:bookmarkStart w:id="5" w:name="_Toc477255583"/>
      <w:bookmarkStart w:id="6" w:name="_Toc477266017"/>
      <w:bookmarkStart w:id="7" w:name="_Toc477971212"/>
      <w:bookmarkStart w:id="8" w:name="_Toc477971226"/>
      <w:bookmarkStart w:id="9" w:name="_Toc477971635"/>
      <w:bookmarkStart w:id="10" w:name="_Toc477254249"/>
      <w:bookmarkStart w:id="11" w:name="_Toc477254272"/>
      <w:bookmarkStart w:id="12" w:name="_Toc477254301"/>
      <w:bookmarkStart w:id="13" w:name="_Toc477255588"/>
      <w:bookmarkStart w:id="14" w:name="_Toc477266022"/>
      <w:bookmarkStart w:id="15" w:name="_Toc477971203"/>
      <w:bookmarkStart w:id="16" w:name="_Toc477971208"/>
      <w:bookmarkStart w:id="17" w:name="_Toc462843369"/>
      <w:bookmarkStart w:id="18" w:name="_Toc462843271"/>
      <w:bookmarkStart w:id="19" w:name="_Toc462843283"/>
      <w:bookmarkStart w:id="20" w:name="_Toc462843312"/>
      <w:bookmarkStart w:id="21" w:name="_Toc462843326"/>
      <w:bookmarkStart w:id="22" w:name="_Toc462843273"/>
      <w:bookmarkStart w:id="23" w:name="_Toc462843285"/>
      <w:bookmarkStart w:id="24" w:name="_Toc462843314"/>
      <w:bookmarkStart w:id="25" w:name="_Toc462843328"/>
      <w:bookmarkStart w:id="26" w:name="_Toc462843372"/>
      <w:bookmarkStart w:id="27" w:name="_Toc462843274"/>
      <w:bookmarkStart w:id="28" w:name="_Toc462843286"/>
      <w:bookmarkStart w:id="29" w:name="_Toc462843315"/>
      <w:bookmarkStart w:id="30" w:name="_Toc462843329"/>
      <w:bookmarkStart w:id="31" w:name="_Toc462843373"/>
      <w:bookmarkStart w:id="32" w:name="_Toc462843275"/>
      <w:bookmarkStart w:id="33" w:name="_Toc462843287"/>
      <w:bookmarkStart w:id="34" w:name="_Toc462843316"/>
      <w:bookmarkStart w:id="35" w:name="_Toc462843330"/>
      <w:bookmarkStart w:id="36" w:name="_Toc462843374"/>
      <w:bookmarkStart w:id="37" w:name="_Toc462843276"/>
      <w:bookmarkStart w:id="38" w:name="_Toc462843288"/>
      <w:bookmarkStart w:id="39" w:name="_Toc462843317"/>
      <w:bookmarkStart w:id="40" w:name="_Toc462843331"/>
      <w:bookmarkStart w:id="41" w:name="_Toc4628433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t xml:space="preserve">BSR transmission </w:t>
      </w:r>
      <w:r w:rsidR="00575849">
        <w:t xml:space="preserve">and cancellation </w:t>
      </w:r>
      <w:r>
        <w:t>in non</w:t>
      </w:r>
      <w:r w:rsidR="007037E4">
        <w:t>-</w:t>
      </w:r>
      <w:r>
        <w:t>CA</w:t>
      </w:r>
      <w:r w:rsidR="007037E4">
        <w:t xml:space="preserve"> scenarios</w:t>
      </w:r>
    </w:p>
    <w:p w14:paraId="41797CE9" w14:textId="4FB14147" w:rsidR="000B1519" w:rsidRDefault="00575849" w:rsidP="00575849">
      <w:pPr>
        <w:spacing w:before="120" w:after="60"/>
        <w:rPr>
          <w:noProof/>
        </w:rPr>
      </w:pPr>
      <w:r>
        <w:rPr>
          <w:lang w:val="en-US"/>
        </w:rPr>
        <w:t xml:space="preserve">In the LTE baseline, </w:t>
      </w:r>
      <w:r w:rsidR="002E3CBD">
        <w:rPr>
          <w:lang w:val="en-US"/>
        </w:rPr>
        <w:t>a</w:t>
      </w:r>
      <w:r w:rsidR="002E3CBD" w:rsidRPr="006846AE">
        <w:rPr>
          <w:noProof/>
        </w:rPr>
        <w:t xml:space="preserve">ll triggered BSRs </w:t>
      </w:r>
      <w:r w:rsidR="000B1519">
        <w:rPr>
          <w:noProof/>
        </w:rPr>
        <w:t>can be cancelled in either of two cases</w:t>
      </w:r>
    </w:p>
    <w:p w14:paraId="4B14DB66" w14:textId="77777777" w:rsidR="000B1519" w:rsidRDefault="002E3CBD" w:rsidP="000B1519">
      <w:pPr>
        <w:pStyle w:val="ListParagraph"/>
        <w:numPr>
          <w:ilvl w:val="0"/>
          <w:numId w:val="47"/>
        </w:numPr>
        <w:spacing w:before="120" w:after="60"/>
        <w:rPr>
          <w:noProof/>
        </w:rPr>
      </w:pPr>
      <w:r w:rsidRPr="006846AE">
        <w:rPr>
          <w:noProof/>
        </w:rPr>
        <w:t xml:space="preserve">the UL grant(s) in this </w:t>
      </w:r>
      <w:r w:rsidRPr="006846AE">
        <w:t xml:space="preserve">TTI </w:t>
      </w:r>
      <w:r w:rsidRPr="006846AE">
        <w:rPr>
          <w:noProof/>
        </w:rPr>
        <w:t xml:space="preserve">can accommodate all pending data available for transmission but is not sufficient to additionally accommodate the BSR MAC control element plus its subheader. </w:t>
      </w:r>
    </w:p>
    <w:p w14:paraId="04569E17" w14:textId="002C60C7" w:rsidR="00575849" w:rsidRDefault="002E3CBD" w:rsidP="000B1519">
      <w:pPr>
        <w:pStyle w:val="ListParagraph"/>
        <w:numPr>
          <w:ilvl w:val="0"/>
          <w:numId w:val="47"/>
        </w:numPr>
        <w:spacing w:before="120" w:after="60"/>
        <w:rPr>
          <w:noProof/>
        </w:rPr>
      </w:pPr>
      <w:r w:rsidRPr="006846AE">
        <w:t>a BSR is included in a MAC PDU for transmission</w:t>
      </w:r>
      <w:r w:rsidR="00575849">
        <w:rPr>
          <w:noProof/>
        </w:rPr>
        <w:t>.</w:t>
      </w:r>
    </w:p>
    <w:p w14:paraId="547FF0A4" w14:textId="7FB46190" w:rsidR="00143AAC" w:rsidRPr="00AC32F2" w:rsidRDefault="00427868" w:rsidP="00AC32F2">
      <w:pPr>
        <w:rPr>
          <w:noProof/>
        </w:rPr>
      </w:pPr>
      <w:r>
        <w:t>An N</w:t>
      </w:r>
      <w:r w:rsidR="00080429">
        <w:t>R</w:t>
      </w:r>
      <w:r>
        <w:t xml:space="preserve"> UE may be configured with multiple numerologies. The BSR is triggered per LCG as like LTE. It is naturally assumed that </w:t>
      </w:r>
      <w:r w:rsidR="002C5319">
        <w:t xml:space="preserve">LCHs grouped in the same LCG have similar </w:t>
      </w:r>
      <w:proofErr w:type="spellStart"/>
      <w:r w:rsidR="002C5319">
        <w:t>QoS</w:t>
      </w:r>
      <w:proofErr w:type="spellEnd"/>
      <w:r w:rsidR="002C5319">
        <w:t xml:space="preserve"> requirements</w:t>
      </w:r>
      <w:r w:rsidR="00DD0AA4">
        <w:t xml:space="preserve"> and </w:t>
      </w:r>
      <w:r w:rsidR="00C102BE">
        <w:t>correspondingly are</w:t>
      </w:r>
      <w:r w:rsidR="00DD0AA4">
        <w:t xml:space="preserve"> </w:t>
      </w:r>
      <w:r w:rsidR="002C5319">
        <w:t>mapped with similar numerologies/TTI types.</w:t>
      </w:r>
      <w:r w:rsidR="000211AE">
        <w:rPr>
          <w:rFonts w:ascii="Times New Roman" w:hAnsi="Times New Roman"/>
          <w:noProof/>
        </w:rPr>
        <w:t xml:space="preserve"> </w:t>
      </w:r>
    </w:p>
    <w:p w14:paraId="5085009C" w14:textId="4809493B" w:rsidR="00143AAC" w:rsidRPr="00646C5D" w:rsidRDefault="002C5319" w:rsidP="00143AAC">
      <w:pPr>
        <w:pStyle w:val="Observation"/>
      </w:pPr>
      <w:bookmarkStart w:id="42" w:name="_Toc487448860"/>
      <w:bookmarkStart w:id="43" w:name="_Toc487451223"/>
      <w:bookmarkStart w:id="44" w:name="_Toc490229959"/>
      <w:r>
        <w:t xml:space="preserve">It can be assumed that LCHs in the same LCG have similar </w:t>
      </w:r>
      <w:proofErr w:type="spellStart"/>
      <w:r>
        <w:t>QoS</w:t>
      </w:r>
      <w:proofErr w:type="spellEnd"/>
      <w:r>
        <w:t xml:space="preserve"> requirements, and are mapped with similar numerologies/TTI types</w:t>
      </w:r>
      <w:bookmarkEnd w:id="42"/>
      <w:bookmarkEnd w:id="43"/>
      <w:r w:rsidR="00C102BE">
        <w:t>.</w:t>
      </w:r>
      <w:bookmarkEnd w:id="44"/>
    </w:p>
    <w:p w14:paraId="2243E623" w14:textId="460FDE2D" w:rsidR="00715FB2" w:rsidRDefault="00553DDF" w:rsidP="00C42000">
      <w:r>
        <w:t xml:space="preserve">Several BSR events may be triggered at the same time, for different LCGs, configured with different numerologies. </w:t>
      </w:r>
      <w:r w:rsidR="00C327E3">
        <w:t>From the technology potential aspect, t</w:t>
      </w:r>
      <w:r w:rsidR="00715FB2">
        <w:t>he UE MAC entity may have several options to transmit BS</w:t>
      </w:r>
      <w:r w:rsidR="00C102BE">
        <w:t>R</w:t>
      </w:r>
      <w:r w:rsidR="00715FB2">
        <w:t>s upon reception of a</w:t>
      </w:r>
      <w:r w:rsidR="00DD0AA4">
        <w:t>n uplink</w:t>
      </w:r>
      <w:r w:rsidR="00715FB2">
        <w:t xml:space="preserve"> grant, which is associated with a given numerology. These options are described as below</w:t>
      </w:r>
    </w:p>
    <w:p w14:paraId="1AE2AFC3" w14:textId="282BE710" w:rsidR="00715FB2" w:rsidRDefault="00C327E3" w:rsidP="00C327E3">
      <w:r w:rsidRPr="00C327E3">
        <w:rPr>
          <w:b/>
        </w:rPr>
        <w:lastRenderedPageBreak/>
        <w:t>Option 1</w:t>
      </w:r>
      <w:r>
        <w:t>:  t</w:t>
      </w:r>
      <w:r w:rsidR="00715FB2">
        <w:t>ransmit a</w:t>
      </w:r>
      <w:r w:rsidR="00E80F98">
        <w:t xml:space="preserve"> </w:t>
      </w:r>
      <w:r w:rsidR="00715FB2">
        <w:t>BSR comprising of all BSs for all LCGs with LCHs with data available regardless of which numerology</w:t>
      </w:r>
      <w:r>
        <w:t xml:space="preserve"> is associated with the grant. The BSRs are cancelled after transmission of the MAC PDU</w:t>
      </w:r>
      <w:r w:rsidR="00C102BE">
        <w:t xml:space="preserve"> including the BSR</w:t>
      </w:r>
      <w:r>
        <w:t>.</w:t>
      </w:r>
    </w:p>
    <w:p w14:paraId="6BEA3FD3" w14:textId="2FAACD72" w:rsidR="00C327E3" w:rsidRDefault="00C327E3" w:rsidP="00C327E3">
      <w:r w:rsidRPr="00C327E3">
        <w:rPr>
          <w:b/>
        </w:rPr>
        <w:t>Option 2</w:t>
      </w:r>
      <w:r>
        <w:t>: transmit a BSR comprising of BSs for LCGs with LCHs with data available, and mapped with the numerology associated with the grant. For rest of LCGs which are not mapped with the numerology of the grant, the BSR</w:t>
      </w:r>
      <w:r w:rsidR="0070511A">
        <w:t>s</w:t>
      </w:r>
      <w:r>
        <w:t xml:space="preserve"> can be transmitted at later TTIs, when appropriate grants are received.</w:t>
      </w:r>
    </w:p>
    <w:p w14:paraId="7B804629" w14:textId="3A0B397E" w:rsidR="00C327E3" w:rsidRDefault="0070511A" w:rsidP="00C327E3">
      <w:r w:rsidRPr="00C327E3">
        <w:rPr>
          <w:b/>
        </w:rPr>
        <w:t xml:space="preserve">Option </w:t>
      </w:r>
      <w:r>
        <w:rPr>
          <w:b/>
        </w:rPr>
        <w:t xml:space="preserve">3: </w:t>
      </w:r>
      <w:r w:rsidR="00C327E3">
        <w:t xml:space="preserve"> </w:t>
      </w:r>
      <w:r>
        <w:t xml:space="preserve">transmit a BSR comprising of all BSs for all LCGs with LCHs with data available regardless of which numerology is associated with the grant. The BSRs </w:t>
      </w:r>
      <w:r w:rsidR="00302190">
        <w:t xml:space="preserve">for LCGs, not mapped with numerology of the current grant, </w:t>
      </w:r>
      <w:r>
        <w:t xml:space="preserve">are </w:t>
      </w:r>
      <w:r w:rsidR="00302190">
        <w:t>not cancelled,</w:t>
      </w:r>
      <w:r>
        <w:t xml:space="preserve"> </w:t>
      </w:r>
      <w:r w:rsidR="00302190">
        <w:t xml:space="preserve">and can be also transmitted at </w:t>
      </w:r>
      <w:r w:rsidR="00DD0AA4">
        <w:t xml:space="preserve">subsequent </w:t>
      </w:r>
      <w:r w:rsidR="00302190">
        <w:t xml:space="preserve">TTIs with </w:t>
      </w:r>
      <w:r w:rsidR="00DD0AA4">
        <w:t>other</w:t>
      </w:r>
      <w:r w:rsidR="00302190">
        <w:t xml:space="preserve"> grants. </w:t>
      </w:r>
    </w:p>
    <w:p w14:paraId="1E41BF8D" w14:textId="37E6690A" w:rsidR="0055620A" w:rsidRDefault="0055620A" w:rsidP="00C327E3">
      <w:r>
        <w:t xml:space="preserve">Option 1 is similar </w:t>
      </w:r>
      <w:r w:rsidR="00C102BE">
        <w:t>to</w:t>
      </w:r>
      <w:r>
        <w:t xml:space="preserve"> LTE. We think it is simple and easy to control</w:t>
      </w:r>
      <w:r w:rsidR="00DD0AA4">
        <w:t xml:space="preserve"> BSR transmissions</w:t>
      </w:r>
      <w:r>
        <w:t xml:space="preserve">. </w:t>
      </w:r>
      <w:r w:rsidR="00892C00">
        <w:t xml:space="preserve">The other two options are mainly aiming to achieve the goal, i.e., BSR for LCHs are transmitted on the grant with suitable numerologies. </w:t>
      </w:r>
      <w:r w:rsidR="007150E8">
        <w:t xml:space="preserve">They behave as if LCP procedure </w:t>
      </w:r>
      <w:r w:rsidR="00034241">
        <w:t>would be</w:t>
      </w:r>
      <w:r w:rsidR="007150E8">
        <w:t xml:space="preserve"> performed for not only LCHs, but also the BSR MAC CEs. </w:t>
      </w:r>
      <w:r w:rsidR="00892C00">
        <w:t>They</w:t>
      </w:r>
      <w:r>
        <w:t xml:space="preserve"> are complex and may bring unpredictable UE behaviours</w:t>
      </w:r>
      <w:r w:rsidR="00892C00">
        <w:t>, since it is difficult for the UE to know which grants are going to be received in advance</w:t>
      </w:r>
      <w:r>
        <w:t>. Therefore, the gain is unclear compared to Option 1.</w:t>
      </w:r>
      <w:r w:rsidR="00191DAA">
        <w:t xml:space="preserve"> </w:t>
      </w:r>
    </w:p>
    <w:p w14:paraId="43A9BBE1" w14:textId="1A143574" w:rsidR="00222859" w:rsidRDefault="00222859" w:rsidP="00222859">
      <w:pPr>
        <w:pStyle w:val="Proposal"/>
      </w:pPr>
      <w:bookmarkStart w:id="45" w:name="_Toc487448855"/>
      <w:bookmarkStart w:id="46" w:name="_Toc487451226"/>
      <w:bookmarkStart w:id="47" w:name="_Toc487458419"/>
      <w:bookmarkStart w:id="48" w:name="_Toc489445083"/>
      <w:bookmarkStart w:id="49" w:name="_Toc489623774"/>
      <w:bookmarkStart w:id="50" w:name="_Toc490142479"/>
      <w:bookmarkStart w:id="51" w:name="_Toc490229952"/>
      <w:r>
        <w:t>A</w:t>
      </w:r>
      <w:r w:rsidR="00E80F98">
        <w:t>s like LTE</w:t>
      </w:r>
      <w:r>
        <w:t>,</w:t>
      </w:r>
      <w:bookmarkEnd w:id="45"/>
      <w:r w:rsidR="00E80F98">
        <w:t xml:space="preserve"> a BSR </w:t>
      </w:r>
      <w:r w:rsidR="00D44F09">
        <w:t xml:space="preserve">comprises </w:t>
      </w:r>
      <w:r w:rsidR="00E80F98">
        <w:t xml:space="preserve">BSs for all LCGs with LCHs with data available regardless of which numerology is associated with the </w:t>
      </w:r>
      <w:r w:rsidR="00D44F09">
        <w:t xml:space="preserve">received </w:t>
      </w:r>
      <w:r w:rsidR="00E80F98">
        <w:t>grant</w:t>
      </w:r>
      <w:bookmarkEnd w:id="46"/>
      <w:bookmarkEnd w:id="47"/>
      <w:bookmarkEnd w:id="48"/>
      <w:bookmarkEnd w:id="49"/>
      <w:bookmarkEnd w:id="50"/>
      <w:bookmarkEnd w:id="51"/>
    </w:p>
    <w:p w14:paraId="344C000C" w14:textId="31C42CF1" w:rsidR="007150E8" w:rsidRDefault="00BA2AC3" w:rsidP="00C05A4C">
      <w:r>
        <w:t xml:space="preserve">Similarly, the same cancellation rules as LTE should be applied for BSR in NR. </w:t>
      </w:r>
    </w:p>
    <w:p w14:paraId="274912D8" w14:textId="28A08273" w:rsidR="00BA2AC3" w:rsidRDefault="00BA2AC3" w:rsidP="00BA2AC3">
      <w:pPr>
        <w:pStyle w:val="Proposal"/>
      </w:pPr>
      <w:bookmarkStart w:id="52" w:name="_Toc487458420"/>
      <w:bookmarkStart w:id="53" w:name="_Toc489445084"/>
      <w:bookmarkStart w:id="54" w:name="_Toc489623775"/>
      <w:bookmarkStart w:id="55" w:name="_Toc490142480"/>
      <w:bookmarkStart w:id="56" w:name="_Toc490229953"/>
      <w:r>
        <w:t>As like LTE, all triggered BSRs can be cancelled in either of two cases</w:t>
      </w:r>
      <w:bookmarkEnd w:id="52"/>
      <w:bookmarkEnd w:id="53"/>
      <w:bookmarkEnd w:id="54"/>
      <w:bookmarkEnd w:id="55"/>
      <w:bookmarkEnd w:id="56"/>
    </w:p>
    <w:p w14:paraId="30B95084" w14:textId="6338A4D2" w:rsidR="00BA2AC3" w:rsidRDefault="00C102BE" w:rsidP="00BA2AC3">
      <w:pPr>
        <w:pStyle w:val="Proposal"/>
        <w:numPr>
          <w:ilvl w:val="0"/>
          <w:numId w:val="50"/>
        </w:numPr>
      </w:pPr>
      <w:bookmarkStart w:id="57" w:name="_Toc487458421"/>
      <w:bookmarkStart w:id="58" w:name="_Toc489445085"/>
      <w:bookmarkStart w:id="59" w:name="_Toc489623776"/>
      <w:bookmarkStart w:id="60" w:name="_Toc490142481"/>
      <w:bookmarkStart w:id="61" w:name="_Toc490229954"/>
      <w:r>
        <w:rPr>
          <w:noProof/>
        </w:rPr>
        <w:t xml:space="preserve">A </w:t>
      </w:r>
      <w:r w:rsidR="00BA2AC3" w:rsidRPr="006846AE">
        <w:rPr>
          <w:noProof/>
        </w:rPr>
        <w:t>UL grant(s) can accommodate all pending data available for transmission but is not sufficient to additionally accommodate the BSR MAC control element plus its subheader</w:t>
      </w:r>
      <w:bookmarkEnd w:id="57"/>
      <w:bookmarkEnd w:id="58"/>
      <w:bookmarkEnd w:id="59"/>
      <w:bookmarkEnd w:id="60"/>
      <w:r>
        <w:rPr>
          <w:noProof/>
        </w:rPr>
        <w:t>.</w:t>
      </w:r>
      <w:bookmarkEnd w:id="61"/>
    </w:p>
    <w:p w14:paraId="6C015BFC" w14:textId="52470445" w:rsidR="00BA2AC3" w:rsidRDefault="00BA2AC3" w:rsidP="00BA2AC3">
      <w:pPr>
        <w:pStyle w:val="Proposal"/>
        <w:numPr>
          <w:ilvl w:val="0"/>
          <w:numId w:val="50"/>
        </w:numPr>
      </w:pPr>
      <w:bookmarkStart w:id="62" w:name="_Toc487458422"/>
      <w:bookmarkStart w:id="63" w:name="_Toc489445086"/>
      <w:bookmarkStart w:id="64" w:name="_Toc489623777"/>
      <w:bookmarkStart w:id="65" w:name="_Toc490142482"/>
      <w:bookmarkStart w:id="66" w:name="_Toc490229955"/>
      <w:r w:rsidRPr="006846AE">
        <w:t>a BSR is included in a MAC PDU for transmission</w:t>
      </w:r>
      <w:bookmarkEnd w:id="62"/>
      <w:bookmarkEnd w:id="63"/>
      <w:bookmarkEnd w:id="64"/>
      <w:bookmarkEnd w:id="65"/>
      <w:r w:rsidR="00C102BE">
        <w:t>.</w:t>
      </w:r>
      <w:bookmarkEnd w:id="66"/>
    </w:p>
    <w:p w14:paraId="17615F93" w14:textId="7F9FE6B5" w:rsidR="00135C22" w:rsidRDefault="00135C22" w:rsidP="00C42000">
      <w:pPr>
        <w:rPr>
          <w:noProof/>
        </w:rPr>
      </w:pPr>
      <w:r>
        <w:rPr>
          <w:noProof/>
        </w:rPr>
        <w:t>At the same time, a</w:t>
      </w:r>
      <w:r w:rsidRPr="006846AE">
        <w:rPr>
          <w:noProof/>
        </w:rPr>
        <w:t xml:space="preserve"> Padding BSR is not allowed to cancel a triggered Regular/Periodic BSR. A Padding BSR is triggered for a specific MAC PDU only and th</w:t>
      </w:r>
      <w:r w:rsidR="002D601D">
        <w:rPr>
          <w:noProof/>
        </w:rPr>
        <w:t>at</w:t>
      </w:r>
      <w:r w:rsidRPr="006846AE">
        <w:rPr>
          <w:noProof/>
        </w:rPr>
        <w:t xml:space="preserve"> trigger is cancelled when th</w:t>
      </w:r>
      <w:r w:rsidR="002D601D">
        <w:rPr>
          <w:noProof/>
        </w:rPr>
        <w:t>e</w:t>
      </w:r>
      <w:r w:rsidRPr="006846AE">
        <w:rPr>
          <w:noProof/>
        </w:rPr>
        <w:t xml:space="preserve"> MAC PDU </w:t>
      </w:r>
      <w:r w:rsidR="002D601D">
        <w:rPr>
          <w:noProof/>
        </w:rPr>
        <w:t xml:space="preserve">with the Padding BSR </w:t>
      </w:r>
      <w:r w:rsidRPr="006846AE">
        <w:rPr>
          <w:noProof/>
        </w:rPr>
        <w:t>has been built</w:t>
      </w:r>
      <w:r>
        <w:rPr>
          <w:noProof/>
        </w:rPr>
        <w:t>.</w:t>
      </w:r>
    </w:p>
    <w:p w14:paraId="1DD5F88A" w14:textId="3462B932" w:rsidR="00135C22" w:rsidRDefault="00135C22" w:rsidP="00135C22">
      <w:pPr>
        <w:pStyle w:val="Proposal"/>
      </w:pPr>
      <w:bookmarkStart w:id="67" w:name="_Toc487458423"/>
      <w:bookmarkStart w:id="68" w:name="_Toc489445087"/>
      <w:bookmarkStart w:id="69" w:name="_Toc489623778"/>
      <w:bookmarkStart w:id="70" w:name="_Toc490142483"/>
      <w:bookmarkStart w:id="71" w:name="_Toc490229956"/>
      <w:r>
        <w:t xml:space="preserve">As like LTE, </w:t>
      </w:r>
      <w:r>
        <w:rPr>
          <w:noProof/>
        </w:rPr>
        <w:t>a</w:t>
      </w:r>
      <w:r w:rsidRPr="006846AE">
        <w:rPr>
          <w:noProof/>
        </w:rPr>
        <w:t xml:space="preserve"> Padding BSR </w:t>
      </w:r>
      <w:r w:rsidR="00C102BE">
        <w:rPr>
          <w:noProof/>
        </w:rPr>
        <w:t>does not</w:t>
      </w:r>
      <w:r w:rsidRPr="006846AE">
        <w:rPr>
          <w:noProof/>
        </w:rPr>
        <w:t xml:space="preserve"> cancel a triggered Regular/Periodic BSR</w:t>
      </w:r>
      <w:bookmarkEnd w:id="67"/>
      <w:bookmarkEnd w:id="68"/>
      <w:bookmarkEnd w:id="69"/>
      <w:bookmarkEnd w:id="70"/>
      <w:r w:rsidR="00C102BE">
        <w:rPr>
          <w:noProof/>
        </w:rPr>
        <w:t>.</w:t>
      </w:r>
      <w:bookmarkEnd w:id="71"/>
    </w:p>
    <w:p w14:paraId="0F23178A" w14:textId="25D6A926" w:rsidR="00135C22" w:rsidRPr="00C42000" w:rsidRDefault="00135C22" w:rsidP="00C42000">
      <w:pPr>
        <w:rPr>
          <w:noProof/>
        </w:rPr>
      </w:pPr>
    </w:p>
    <w:p w14:paraId="3AACA4C9" w14:textId="1A06843E" w:rsidR="00731732" w:rsidRPr="00646C5D" w:rsidRDefault="006909F1" w:rsidP="00731732">
      <w:pPr>
        <w:pStyle w:val="Heading2"/>
      </w:pPr>
      <w:r>
        <w:t>BSR transmission</w:t>
      </w:r>
      <w:r w:rsidR="00C0420E">
        <w:t xml:space="preserve"> in CA</w:t>
      </w:r>
      <w:r w:rsidR="007037E4">
        <w:t xml:space="preserve"> scenario</w:t>
      </w:r>
    </w:p>
    <w:p w14:paraId="71DE4FB9" w14:textId="134E577F" w:rsidR="007032D6" w:rsidRDefault="00B43526" w:rsidP="00B43526">
      <w:r>
        <w:t>In LTE, t</w:t>
      </w:r>
      <w:r w:rsidRPr="00F91859">
        <w:t xml:space="preserve">he MAC entity shall transmit at most one Regular/Periodic BSR in a TTI. If the MAC entity is requested to transmit multiple MAC PDUs in a TTI, </w:t>
      </w:r>
      <w:r w:rsidR="001944D0">
        <w:t xml:space="preserve">the UE can select any one of the MAC PDU to carry the Regular/Periodic BSR, further </w:t>
      </w:r>
      <w:r w:rsidRPr="00F91859">
        <w:t>it may include a padding BSR in any of the MAC PDUs which do</w:t>
      </w:r>
      <w:r w:rsidR="001944D0">
        <w:t>es</w:t>
      </w:r>
      <w:r w:rsidRPr="00F91859">
        <w:t xml:space="preserve"> not contain a Regular/Periodic BSR.</w:t>
      </w:r>
      <w:r>
        <w:t xml:space="preserve">  </w:t>
      </w:r>
    </w:p>
    <w:p w14:paraId="27AD0172" w14:textId="64F10511" w:rsidR="008631F5" w:rsidRDefault="008631F5" w:rsidP="00B43526">
      <w:r>
        <w:t xml:space="preserve">In NR, the UE MAC entity may receive multiple grants at the same time, and each grant may be associated with a separate numerology/TTI length. </w:t>
      </w:r>
      <w:r w:rsidR="0037081F">
        <w:t>The gain by allowing more than one Regular/Periodic BSRs to transmit is not clear. It may also lead to additional complexity for BSR transmission and cancellation. Therefore, we suggest to reuse the LTE rules for NR.</w:t>
      </w:r>
    </w:p>
    <w:p w14:paraId="7215CAA5" w14:textId="05EC1C90" w:rsidR="000C1EFA" w:rsidRDefault="002B0E95" w:rsidP="009F55F2">
      <w:pPr>
        <w:pStyle w:val="Proposal"/>
      </w:pPr>
      <w:bookmarkStart w:id="72" w:name="_Toc489445090"/>
      <w:bookmarkStart w:id="73" w:name="_Toc489623779"/>
      <w:bookmarkStart w:id="74" w:name="_Toc487446485"/>
      <w:bookmarkStart w:id="75" w:name="_Toc487448856"/>
      <w:bookmarkStart w:id="76" w:name="_Toc487451227"/>
      <w:bookmarkStart w:id="77" w:name="_Toc487458424"/>
      <w:bookmarkStart w:id="78" w:name="_Toc489445091"/>
      <w:bookmarkStart w:id="79" w:name="_Toc489623780"/>
      <w:bookmarkStart w:id="80" w:name="_Toc490142484"/>
      <w:bookmarkStart w:id="81" w:name="_Toc490229957"/>
      <w:bookmarkEnd w:id="72"/>
      <w:bookmarkEnd w:id="73"/>
      <w:r>
        <w:t xml:space="preserve">As like LTE, </w:t>
      </w:r>
      <w:r w:rsidR="000C1EFA">
        <w:t xml:space="preserve">the </w:t>
      </w:r>
      <w:r w:rsidR="000C1EFA" w:rsidRPr="00F91859">
        <w:t xml:space="preserve">MAC entity shall transmit at most one Regular/Periodic BSR </w:t>
      </w:r>
      <w:r w:rsidR="00616D90">
        <w:t>when receiving multiple grants at the same time</w:t>
      </w:r>
      <w:r w:rsidR="001C0E6E">
        <w:t xml:space="preserve"> </w:t>
      </w:r>
      <w:r w:rsidR="000C1EFA">
        <w:t xml:space="preserve">and it is up to UE implementation on the selection of which </w:t>
      </w:r>
      <w:r w:rsidR="00A94B8F">
        <w:t>serving cell</w:t>
      </w:r>
      <w:r w:rsidR="000C1EFA">
        <w:t xml:space="preserve"> to transmit Regular/Periodic</w:t>
      </w:r>
      <w:bookmarkEnd w:id="74"/>
      <w:r w:rsidR="00981804">
        <w:t xml:space="preserve"> BSR</w:t>
      </w:r>
      <w:bookmarkEnd w:id="75"/>
      <w:bookmarkEnd w:id="76"/>
      <w:bookmarkEnd w:id="77"/>
      <w:bookmarkEnd w:id="78"/>
      <w:bookmarkEnd w:id="79"/>
      <w:r w:rsidR="00F11446">
        <w:t>.</w:t>
      </w:r>
      <w:bookmarkEnd w:id="80"/>
      <w:bookmarkEnd w:id="81"/>
    </w:p>
    <w:p w14:paraId="0AF28630" w14:textId="12E532F8" w:rsidR="00F11446" w:rsidRDefault="00F11446" w:rsidP="0077378A">
      <w:pPr>
        <w:pStyle w:val="Heading2"/>
      </w:pPr>
      <w:bookmarkStart w:id="82" w:name="_Toc457910612"/>
      <w:bookmarkStart w:id="83" w:name="_Toc458413505"/>
      <w:bookmarkStart w:id="84" w:name="_Toc458718272"/>
      <w:bookmarkStart w:id="85" w:name="_Toc458718317"/>
      <w:bookmarkStart w:id="86" w:name="_Toc477971217"/>
      <w:bookmarkStart w:id="87" w:name="_Toc477971231"/>
      <w:bookmarkStart w:id="88" w:name="_Toc477971640"/>
      <w:bookmarkStart w:id="89" w:name="_Toc477984915"/>
      <w:bookmarkStart w:id="90" w:name="_Toc477971218"/>
      <w:bookmarkStart w:id="91" w:name="_Toc477971232"/>
      <w:bookmarkStart w:id="92" w:name="_Toc477971641"/>
      <w:bookmarkStart w:id="93" w:name="_Toc477984916"/>
      <w:bookmarkStart w:id="94" w:name="_Toc477729381"/>
      <w:bookmarkStart w:id="95" w:name="_Toc477729382"/>
      <w:bookmarkEnd w:id="82"/>
      <w:bookmarkEnd w:id="83"/>
      <w:bookmarkEnd w:id="84"/>
      <w:bookmarkEnd w:id="85"/>
      <w:bookmarkEnd w:id="86"/>
      <w:bookmarkEnd w:id="87"/>
      <w:bookmarkEnd w:id="88"/>
      <w:bookmarkEnd w:id="89"/>
      <w:bookmarkEnd w:id="90"/>
      <w:bookmarkEnd w:id="91"/>
      <w:bookmarkEnd w:id="92"/>
      <w:bookmarkEnd w:id="93"/>
      <w:bookmarkEnd w:id="94"/>
      <w:bookmarkEnd w:id="95"/>
      <w:r>
        <w:t>BSR timers</w:t>
      </w:r>
    </w:p>
    <w:p w14:paraId="7DE110EF" w14:textId="725E8F19" w:rsidR="00F11446" w:rsidRDefault="00F11446" w:rsidP="0077378A">
      <w:r>
        <w:t xml:space="preserve">There are two timers controlling BSR in LTE. The </w:t>
      </w:r>
      <w:proofErr w:type="spellStart"/>
      <w:r>
        <w:rPr>
          <w:i/>
        </w:rPr>
        <w:t>periodicBSR</w:t>
      </w:r>
      <w:proofErr w:type="spellEnd"/>
      <w:r>
        <w:rPr>
          <w:i/>
        </w:rPr>
        <w:t>-Timer</w:t>
      </w:r>
      <w:r>
        <w:t xml:space="preserve"> which triggers BSR periodically, and the </w:t>
      </w:r>
      <w:proofErr w:type="spellStart"/>
      <w:r>
        <w:rPr>
          <w:i/>
        </w:rPr>
        <w:t>retxBSR</w:t>
      </w:r>
      <w:proofErr w:type="spellEnd"/>
      <w:r>
        <w:rPr>
          <w:i/>
        </w:rPr>
        <w:t>-Timer</w:t>
      </w:r>
      <w:r>
        <w:t xml:space="preserve"> which triggers BSR if the UE has data and has not been scheduled.</w:t>
      </w:r>
      <w:r w:rsidR="004A7A58">
        <w:t xml:space="preserve"> These timers are configured in </w:t>
      </w:r>
      <w:proofErr w:type="spellStart"/>
      <w:r w:rsidR="004A7A58">
        <w:t>subframes</w:t>
      </w:r>
      <w:proofErr w:type="spellEnd"/>
      <w:r w:rsidR="004A7A58">
        <w:t xml:space="preserve"> in LTE. As one </w:t>
      </w:r>
      <w:proofErr w:type="spellStart"/>
      <w:r w:rsidR="004A7A58">
        <w:t>subframe</w:t>
      </w:r>
      <w:proofErr w:type="spellEnd"/>
      <w:r w:rsidR="004A7A58">
        <w:t xml:space="preserve"> has the duration of one millisecond in both LTE and NR, we think they can be configured in either </w:t>
      </w:r>
      <w:proofErr w:type="spellStart"/>
      <w:r w:rsidR="004A7A58">
        <w:t>subframes</w:t>
      </w:r>
      <w:proofErr w:type="spellEnd"/>
      <w:r w:rsidR="004A7A58">
        <w:t xml:space="preserve"> or milliseconds. Buffer status reporting is a procedure in which the UE informs the </w:t>
      </w:r>
      <w:proofErr w:type="spellStart"/>
      <w:r w:rsidR="004A7A58">
        <w:t>gNB</w:t>
      </w:r>
      <w:proofErr w:type="spellEnd"/>
      <w:r w:rsidR="004A7A58">
        <w:t xml:space="preserve"> about the amount of data in the UE such that the </w:t>
      </w:r>
      <w:proofErr w:type="spellStart"/>
      <w:r w:rsidR="004A7A58">
        <w:t>gNB</w:t>
      </w:r>
      <w:proofErr w:type="spellEnd"/>
      <w:r w:rsidR="004A7A58">
        <w:t xml:space="preserve"> can make a scheduling decision. There seems to be no impact from varying numerologies or TTI durations in this case. </w:t>
      </w:r>
      <w:r w:rsidR="00A278CF">
        <w:t>However, as the general timing of everything (e.g. processing times) in NR is shorter than in LTE, shorter values may be considered.</w:t>
      </w:r>
    </w:p>
    <w:p w14:paraId="30A4B9A1" w14:textId="12A46643" w:rsidR="00A278CF" w:rsidRPr="00F11446" w:rsidRDefault="00A278CF" w:rsidP="008A4342">
      <w:pPr>
        <w:pStyle w:val="Proposal"/>
      </w:pPr>
      <w:bookmarkStart w:id="96" w:name="_Toc490142485"/>
      <w:bookmarkStart w:id="97" w:name="_Toc490229958"/>
      <w:r>
        <w:t xml:space="preserve">The </w:t>
      </w:r>
      <w:proofErr w:type="spellStart"/>
      <w:r>
        <w:rPr>
          <w:i/>
        </w:rPr>
        <w:t>periodicBSR</w:t>
      </w:r>
      <w:proofErr w:type="spellEnd"/>
      <w:r>
        <w:rPr>
          <w:i/>
        </w:rPr>
        <w:t>-Timer</w:t>
      </w:r>
      <w:r>
        <w:t xml:space="preserve"> and </w:t>
      </w:r>
      <w:proofErr w:type="spellStart"/>
      <w:r>
        <w:rPr>
          <w:i/>
        </w:rPr>
        <w:t>retxBSR</w:t>
      </w:r>
      <w:proofErr w:type="spellEnd"/>
      <w:r>
        <w:rPr>
          <w:i/>
        </w:rPr>
        <w:t>-Timer</w:t>
      </w:r>
      <w:r>
        <w:t xml:space="preserve"> are defined in either </w:t>
      </w:r>
      <w:proofErr w:type="spellStart"/>
      <w:r>
        <w:t>subframes</w:t>
      </w:r>
      <w:proofErr w:type="spellEnd"/>
      <w:r>
        <w:t xml:space="preserve"> or milliseconds. Adding shorter values than in LTE can be considered.</w:t>
      </w:r>
      <w:bookmarkEnd w:id="96"/>
      <w:bookmarkEnd w:id="97"/>
    </w:p>
    <w:p w14:paraId="1DDCD95E" w14:textId="77777777" w:rsidR="00731732" w:rsidRPr="00646C5D" w:rsidRDefault="00731732" w:rsidP="00731732">
      <w:pPr>
        <w:pStyle w:val="Heading1"/>
        <w:numPr>
          <w:ilvl w:val="0"/>
          <w:numId w:val="16"/>
        </w:numPr>
        <w:textAlignment w:val="auto"/>
      </w:pPr>
      <w:r w:rsidRPr="00646C5D">
        <w:lastRenderedPageBreak/>
        <w:t>Conclusion</w:t>
      </w:r>
    </w:p>
    <w:p w14:paraId="3C8BB661" w14:textId="77777777" w:rsidR="00731732" w:rsidRPr="00646C5D" w:rsidRDefault="00731732" w:rsidP="00731732">
      <w:r w:rsidRPr="00646C5D">
        <w:t xml:space="preserve">In section </w:t>
      </w:r>
      <w:r w:rsidRPr="00646C5D">
        <w:rPr>
          <w:highlight w:val="cyan"/>
        </w:rPr>
        <w:fldChar w:fldCharType="begin"/>
      </w:r>
      <w:r w:rsidRPr="00646C5D">
        <w:instrText xml:space="preserve"> REF _Ref178064866 \r \h </w:instrText>
      </w:r>
      <w:r w:rsidRPr="00646C5D">
        <w:rPr>
          <w:highlight w:val="cyan"/>
        </w:rPr>
        <w:instrText xml:space="preserve"> \* MERGEFORMAT </w:instrText>
      </w:r>
      <w:r w:rsidRPr="00646C5D">
        <w:rPr>
          <w:highlight w:val="cyan"/>
        </w:rPr>
      </w:r>
      <w:r w:rsidRPr="00646C5D">
        <w:rPr>
          <w:highlight w:val="cyan"/>
        </w:rPr>
        <w:fldChar w:fldCharType="separate"/>
      </w:r>
      <w:r w:rsidRPr="00646C5D">
        <w:t>2</w:t>
      </w:r>
      <w:r w:rsidRPr="00646C5D">
        <w:rPr>
          <w:highlight w:val="cyan"/>
        </w:rPr>
        <w:fldChar w:fldCharType="end"/>
      </w:r>
      <w:r w:rsidRPr="00646C5D">
        <w:t xml:space="preserve"> we made the following observations:</w:t>
      </w:r>
    </w:p>
    <w:p w14:paraId="11DF5101" w14:textId="77777777" w:rsidR="003248F5" w:rsidRDefault="00731732">
      <w:pPr>
        <w:pStyle w:val="TOC1"/>
        <w:rPr>
          <w:rFonts w:asciiTheme="minorHAnsi" w:eastAsiaTheme="minorEastAsia" w:hAnsiTheme="minorHAnsi" w:cstheme="minorBidi"/>
          <w:b w:val="0"/>
          <w:sz w:val="24"/>
          <w:szCs w:val="24"/>
          <w:lang w:val="en-GB" w:eastAsia="en-GB"/>
        </w:rPr>
      </w:pPr>
      <w:r w:rsidRPr="00646C5D">
        <w:rPr>
          <w:b w:val="0"/>
          <w:bCs/>
          <w:noProof w:val="0"/>
          <w:lang w:val="en-GB"/>
        </w:rPr>
        <w:fldChar w:fldCharType="begin"/>
      </w:r>
      <w:r w:rsidRPr="00646C5D">
        <w:rPr>
          <w:b w:val="0"/>
          <w:bCs/>
          <w:noProof w:val="0"/>
          <w:lang w:val="en-GB"/>
        </w:rPr>
        <w:instrText xml:space="preserve"> TOC \f \n \t "Observation;1" </w:instrText>
      </w:r>
      <w:r w:rsidRPr="00646C5D">
        <w:rPr>
          <w:b w:val="0"/>
          <w:bCs/>
          <w:noProof w:val="0"/>
          <w:lang w:val="en-GB"/>
        </w:rPr>
        <w:fldChar w:fldCharType="separate"/>
      </w:r>
      <w:r w:rsidR="003248F5">
        <w:t>Observation 1</w:t>
      </w:r>
      <w:r w:rsidR="003248F5">
        <w:rPr>
          <w:rFonts w:asciiTheme="minorHAnsi" w:eastAsiaTheme="minorEastAsia" w:hAnsiTheme="minorHAnsi" w:cstheme="minorBidi"/>
          <w:b w:val="0"/>
          <w:sz w:val="24"/>
          <w:szCs w:val="24"/>
          <w:lang w:val="en-GB" w:eastAsia="en-GB"/>
        </w:rPr>
        <w:tab/>
      </w:r>
      <w:r w:rsidR="003248F5">
        <w:t>It can be assumed that LCHs in the same LCG have similar QoS requirements, and are mapped with similar numerologies/TTI types.</w:t>
      </w:r>
    </w:p>
    <w:p w14:paraId="7A2157D6" w14:textId="590AEAA3" w:rsidR="00731732" w:rsidRPr="00646C5D" w:rsidRDefault="00731732" w:rsidP="00731732">
      <w:pPr>
        <w:pStyle w:val="BodyText"/>
        <w:rPr>
          <w:b/>
          <w:bCs/>
        </w:rPr>
      </w:pPr>
      <w:r w:rsidRPr="00646C5D">
        <w:rPr>
          <w:b/>
          <w:bCs/>
        </w:rPr>
        <w:fldChar w:fldCharType="end"/>
      </w:r>
    </w:p>
    <w:p w14:paraId="6C33A500" w14:textId="77777777" w:rsidR="00731732" w:rsidRPr="00646C5D" w:rsidRDefault="00731732" w:rsidP="00731732">
      <w:r w:rsidRPr="00646C5D">
        <w:t xml:space="preserve">Based on the discussion in Section </w:t>
      </w:r>
      <w:r w:rsidRPr="00646C5D">
        <w:rPr>
          <w:highlight w:val="cyan"/>
        </w:rPr>
        <w:fldChar w:fldCharType="begin"/>
      </w:r>
      <w:r w:rsidRPr="00646C5D">
        <w:instrText xml:space="preserve"> REF _Ref178064866 \r \h </w:instrText>
      </w:r>
      <w:r w:rsidRPr="00646C5D">
        <w:rPr>
          <w:highlight w:val="cyan"/>
        </w:rPr>
        <w:instrText xml:space="preserve"> \* MERGEFORMAT </w:instrText>
      </w:r>
      <w:r w:rsidRPr="00646C5D">
        <w:rPr>
          <w:highlight w:val="cyan"/>
        </w:rPr>
      </w:r>
      <w:r w:rsidRPr="00646C5D">
        <w:rPr>
          <w:highlight w:val="cyan"/>
        </w:rPr>
        <w:fldChar w:fldCharType="separate"/>
      </w:r>
      <w:r w:rsidRPr="00646C5D">
        <w:t>2</w:t>
      </w:r>
      <w:r w:rsidRPr="00646C5D">
        <w:rPr>
          <w:highlight w:val="cyan"/>
        </w:rPr>
        <w:fldChar w:fldCharType="end"/>
      </w:r>
      <w:r w:rsidRPr="00646C5D">
        <w:t xml:space="preserve"> we propose the following:</w:t>
      </w:r>
    </w:p>
    <w:p w14:paraId="660A7BD2" w14:textId="77777777" w:rsidR="003248F5" w:rsidRDefault="00731732">
      <w:pPr>
        <w:pStyle w:val="TOC1"/>
        <w:rPr>
          <w:rFonts w:asciiTheme="minorHAnsi" w:eastAsiaTheme="minorEastAsia" w:hAnsiTheme="minorHAnsi" w:cstheme="minorBidi"/>
          <w:b w:val="0"/>
          <w:sz w:val="24"/>
          <w:szCs w:val="24"/>
          <w:lang w:val="en-GB" w:eastAsia="en-GB"/>
        </w:rPr>
      </w:pPr>
      <w:r w:rsidRPr="00646C5D">
        <w:rPr>
          <w:b w:val="0"/>
          <w:bCs/>
          <w:noProof w:val="0"/>
          <w:lang w:val="en-GB"/>
        </w:rPr>
        <w:fldChar w:fldCharType="begin"/>
      </w:r>
      <w:r w:rsidRPr="00646C5D">
        <w:rPr>
          <w:b w:val="0"/>
          <w:bCs/>
          <w:noProof w:val="0"/>
          <w:lang w:val="en-GB"/>
        </w:rPr>
        <w:instrText xml:space="preserve"> TOC \f \n \p " " \t "Proposal;1" </w:instrText>
      </w:r>
      <w:r w:rsidRPr="00646C5D">
        <w:rPr>
          <w:b w:val="0"/>
          <w:bCs/>
          <w:noProof w:val="0"/>
          <w:lang w:val="en-GB"/>
        </w:rPr>
        <w:fldChar w:fldCharType="separate"/>
      </w:r>
      <w:r w:rsidR="003248F5">
        <w:t>Proposal 1</w:t>
      </w:r>
      <w:r w:rsidR="003248F5">
        <w:rPr>
          <w:rFonts w:asciiTheme="minorHAnsi" w:eastAsiaTheme="minorEastAsia" w:hAnsiTheme="minorHAnsi" w:cstheme="minorBidi"/>
          <w:b w:val="0"/>
          <w:sz w:val="24"/>
          <w:szCs w:val="24"/>
          <w:lang w:val="en-GB" w:eastAsia="en-GB"/>
        </w:rPr>
        <w:tab/>
      </w:r>
      <w:r w:rsidR="003248F5">
        <w:t>As like LTE, a BSR comprises BSs for all LCGs with LCHs with data available regardless of which numerology is associated with the received grant</w:t>
      </w:r>
    </w:p>
    <w:p w14:paraId="3B3D12F6" w14:textId="77777777" w:rsidR="003248F5" w:rsidRDefault="003248F5">
      <w:pPr>
        <w:pStyle w:val="TOC1"/>
        <w:rPr>
          <w:rFonts w:asciiTheme="minorHAnsi" w:eastAsiaTheme="minorEastAsia" w:hAnsiTheme="minorHAnsi" w:cstheme="minorBidi"/>
          <w:b w:val="0"/>
          <w:sz w:val="24"/>
          <w:szCs w:val="24"/>
          <w:lang w:val="en-GB" w:eastAsia="en-GB"/>
        </w:rPr>
      </w:pPr>
      <w:r>
        <w:t>Proposal 2</w:t>
      </w:r>
      <w:r>
        <w:rPr>
          <w:rFonts w:asciiTheme="minorHAnsi" w:eastAsiaTheme="minorEastAsia" w:hAnsiTheme="minorHAnsi" w:cstheme="minorBidi"/>
          <w:b w:val="0"/>
          <w:sz w:val="24"/>
          <w:szCs w:val="24"/>
          <w:lang w:val="en-GB" w:eastAsia="en-GB"/>
        </w:rPr>
        <w:tab/>
      </w:r>
      <w:r>
        <w:t>As like LTE, all triggered BSRs can be cancelled in either of two cases</w:t>
      </w:r>
    </w:p>
    <w:p w14:paraId="310D41E2" w14:textId="77777777" w:rsidR="003248F5" w:rsidRDefault="003248F5">
      <w:pPr>
        <w:pStyle w:val="TOC1"/>
        <w:rPr>
          <w:rFonts w:asciiTheme="minorHAnsi" w:eastAsiaTheme="minorEastAsia" w:hAnsiTheme="minorHAnsi" w:cstheme="minorBidi"/>
          <w:b w:val="0"/>
          <w:sz w:val="24"/>
          <w:szCs w:val="24"/>
          <w:lang w:val="en-GB" w:eastAsia="en-GB"/>
        </w:rPr>
      </w:pPr>
      <w:r>
        <w:t>1)</w:t>
      </w:r>
      <w:r>
        <w:rPr>
          <w:rFonts w:asciiTheme="minorHAnsi" w:eastAsiaTheme="minorEastAsia" w:hAnsiTheme="minorHAnsi" w:cstheme="minorBidi"/>
          <w:b w:val="0"/>
          <w:sz w:val="24"/>
          <w:szCs w:val="24"/>
          <w:lang w:val="en-GB" w:eastAsia="en-GB"/>
        </w:rPr>
        <w:tab/>
      </w:r>
      <w:r>
        <w:t>A UL grant(s) can accommodate all pending data available for transmission but is not sufficient to additionally accommodate the BSR MAC control element plus its subheader.</w:t>
      </w:r>
    </w:p>
    <w:p w14:paraId="64A53EC3" w14:textId="77777777" w:rsidR="003248F5" w:rsidRDefault="003248F5">
      <w:pPr>
        <w:pStyle w:val="TOC1"/>
        <w:rPr>
          <w:rFonts w:asciiTheme="minorHAnsi" w:eastAsiaTheme="minorEastAsia" w:hAnsiTheme="minorHAnsi" w:cstheme="minorBidi"/>
          <w:b w:val="0"/>
          <w:sz w:val="24"/>
          <w:szCs w:val="24"/>
          <w:lang w:val="en-GB" w:eastAsia="en-GB"/>
        </w:rPr>
      </w:pPr>
      <w:r>
        <w:t>2)</w:t>
      </w:r>
      <w:r>
        <w:rPr>
          <w:rFonts w:asciiTheme="minorHAnsi" w:eastAsiaTheme="minorEastAsia" w:hAnsiTheme="minorHAnsi" w:cstheme="minorBidi"/>
          <w:b w:val="0"/>
          <w:sz w:val="24"/>
          <w:szCs w:val="24"/>
          <w:lang w:val="en-GB" w:eastAsia="en-GB"/>
        </w:rPr>
        <w:tab/>
      </w:r>
      <w:r>
        <w:t>a BSR is included in a MAC PDU for transmission.</w:t>
      </w:r>
    </w:p>
    <w:p w14:paraId="32659981" w14:textId="77777777" w:rsidR="003248F5" w:rsidRDefault="003248F5">
      <w:pPr>
        <w:pStyle w:val="TOC1"/>
        <w:rPr>
          <w:rFonts w:asciiTheme="minorHAnsi" w:eastAsiaTheme="minorEastAsia" w:hAnsiTheme="minorHAnsi" w:cstheme="minorBidi"/>
          <w:b w:val="0"/>
          <w:sz w:val="24"/>
          <w:szCs w:val="24"/>
          <w:lang w:val="en-GB" w:eastAsia="en-GB"/>
        </w:rPr>
      </w:pPr>
      <w:r>
        <w:t>Proposal 3</w:t>
      </w:r>
      <w:r>
        <w:rPr>
          <w:rFonts w:asciiTheme="minorHAnsi" w:eastAsiaTheme="minorEastAsia" w:hAnsiTheme="minorHAnsi" w:cstheme="minorBidi"/>
          <w:b w:val="0"/>
          <w:sz w:val="24"/>
          <w:szCs w:val="24"/>
          <w:lang w:val="en-GB" w:eastAsia="en-GB"/>
        </w:rPr>
        <w:tab/>
      </w:r>
      <w:r>
        <w:t>As like LTE, a Padding BSR does not cancel a triggered Regular/Periodic BSR.</w:t>
      </w:r>
    </w:p>
    <w:p w14:paraId="7EBEBB75" w14:textId="77777777" w:rsidR="003248F5" w:rsidRDefault="003248F5">
      <w:pPr>
        <w:pStyle w:val="TOC1"/>
        <w:rPr>
          <w:rFonts w:asciiTheme="minorHAnsi" w:eastAsiaTheme="minorEastAsia" w:hAnsiTheme="minorHAnsi" w:cstheme="minorBidi"/>
          <w:b w:val="0"/>
          <w:sz w:val="24"/>
          <w:szCs w:val="24"/>
          <w:lang w:val="en-GB" w:eastAsia="en-GB"/>
        </w:rPr>
      </w:pPr>
      <w:r>
        <w:t>Proposal 4</w:t>
      </w:r>
      <w:r>
        <w:rPr>
          <w:rFonts w:asciiTheme="minorHAnsi" w:eastAsiaTheme="minorEastAsia" w:hAnsiTheme="minorHAnsi" w:cstheme="minorBidi"/>
          <w:b w:val="0"/>
          <w:sz w:val="24"/>
          <w:szCs w:val="24"/>
          <w:lang w:val="en-GB" w:eastAsia="en-GB"/>
        </w:rPr>
        <w:tab/>
      </w:r>
      <w:r>
        <w:t>As like LTE, the MAC entity shall transmit at most one Regular/Periodic BSR when receiving multiple grants at the same time and it is up to UE implementation on the selection of which serving cell to transmit Regular/Periodic BSR.</w:t>
      </w:r>
    </w:p>
    <w:p w14:paraId="762A7049" w14:textId="77777777" w:rsidR="003248F5" w:rsidRDefault="003248F5">
      <w:pPr>
        <w:pStyle w:val="TOC1"/>
        <w:rPr>
          <w:rFonts w:asciiTheme="minorHAnsi" w:eastAsiaTheme="minorEastAsia" w:hAnsiTheme="minorHAnsi" w:cstheme="minorBidi"/>
          <w:b w:val="0"/>
          <w:sz w:val="24"/>
          <w:szCs w:val="24"/>
          <w:lang w:val="en-GB" w:eastAsia="en-GB"/>
        </w:rPr>
      </w:pPr>
      <w:r>
        <w:t>Proposal 5</w:t>
      </w:r>
      <w:r>
        <w:rPr>
          <w:rFonts w:asciiTheme="minorHAnsi" w:eastAsiaTheme="minorEastAsia" w:hAnsiTheme="minorHAnsi" w:cstheme="minorBidi"/>
          <w:b w:val="0"/>
          <w:sz w:val="24"/>
          <w:szCs w:val="24"/>
          <w:lang w:val="en-GB" w:eastAsia="en-GB"/>
        </w:rPr>
        <w:tab/>
      </w:r>
      <w:r>
        <w:t xml:space="preserve">The </w:t>
      </w:r>
      <w:r w:rsidRPr="00C76C19">
        <w:rPr>
          <w:i/>
        </w:rPr>
        <w:t>periodicBSR-Timer</w:t>
      </w:r>
      <w:r>
        <w:t xml:space="preserve"> and </w:t>
      </w:r>
      <w:r w:rsidRPr="00C76C19">
        <w:rPr>
          <w:i/>
        </w:rPr>
        <w:t>retxBSR-Timer</w:t>
      </w:r>
      <w:r>
        <w:t xml:space="preserve"> are defined in either subframes or milliseconds. Adding shorter values than in LTE can be considered.</w:t>
      </w:r>
    </w:p>
    <w:p w14:paraId="2C53E867" w14:textId="02CD5C82" w:rsidR="0068665D" w:rsidRDefault="00731732" w:rsidP="0068665D">
      <w:pPr>
        <w:pStyle w:val="Heading1"/>
        <w:rPr>
          <w:rFonts w:eastAsia="SimSun"/>
        </w:rPr>
      </w:pPr>
      <w:r w:rsidRPr="00646C5D">
        <w:rPr>
          <w:b/>
          <w:bCs/>
        </w:rPr>
        <w:fldChar w:fldCharType="end"/>
      </w:r>
      <w:bookmarkStart w:id="98" w:name="_In-sequence_SDU_delivery"/>
      <w:bookmarkEnd w:id="98"/>
      <w:r w:rsidR="0068665D" w:rsidRPr="0068665D">
        <w:rPr>
          <w:rFonts w:eastAsia="SimSun"/>
        </w:rPr>
        <w:t xml:space="preserve"> </w:t>
      </w:r>
      <w:r w:rsidR="0068665D">
        <w:rPr>
          <w:rFonts w:eastAsia="SimSun"/>
        </w:rPr>
        <w:t>References</w:t>
      </w:r>
    </w:p>
    <w:p w14:paraId="2A078EC9" w14:textId="03209D30" w:rsidR="0068665D" w:rsidRDefault="0068665D" w:rsidP="0068665D">
      <w:pPr>
        <w:numPr>
          <w:ilvl w:val="0"/>
          <w:numId w:val="46"/>
        </w:numPr>
        <w:overflowPunct/>
        <w:autoSpaceDE/>
        <w:adjustRightInd/>
        <w:spacing w:afterLines="50"/>
        <w:jc w:val="left"/>
        <w:textAlignment w:val="auto"/>
        <w:rPr>
          <w:rFonts w:eastAsia="SimSun"/>
          <w:lang w:val="en-US"/>
        </w:rPr>
      </w:pPr>
      <w:r>
        <w:rPr>
          <w:kern w:val="2"/>
        </w:rPr>
        <w:t>R2-</w:t>
      </w:r>
      <w:r w:rsidR="004F7A38">
        <w:rPr>
          <w:kern w:val="2"/>
        </w:rPr>
        <w:t>1708349</w:t>
      </w:r>
      <w:r>
        <w:rPr>
          <w:kern w:val="2"/>
        </w:rPr>
        <w:t>, BSR format in NR, Ericsson</w:t>
      </w:r>
    </w:p>
    <w:p w14:paraId="21A2BA03" w14:textId="157F7435" w:rsidR="008B77F0" w:rsidRPr="00646C5D" w:rsidRDefault="008B77F0" w:rsidP="00B26795"/>
    <w:sectPr w:rsidR="008B77F0" w:rsidRPr="00646C5D">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273A32" w14:textId="77777777" w:rsidR="004B357E" w:rsidRDefault="004B357E">
      <w:r>
        <w:separator/>
      </w:r>
    </w:p>
  </w:endnote>
  <w:endnote w:type="continuationSeparator" w:id="0">
    <w:p w14:paraId="0CF17C1C" w14:textId="77777777" w:rsidR="004B357E" w:rsidRDefault="004B357E">
      <w:r>
        <w:continuationSeparator/>
      </w:r>
    </w:p>
  </w:endnote>
  <w:endnote w:type="continuationNotice" w:id="1">
    <w:p w14:paraId="66BE1260" w14:textId="77777777" w:rsidR="004B357E" w:rsidRDefault="004B35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panose1 w:val="02010609060101010101"/>
    <w:charset w:val="86"/>
    <w:family w:val="auto"/>
    <w:pitch w:val="fixed"/>
    <w:sig w:usb0="800002BF" w:usb1="38CF7CFA" w:usb2="00000016" w:usb3="00000000" w:csb0="00040001" w:csb1="00000000"/>
  </w:font>
  <w:font w:name="Ericsson Capital TT">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panose1 w:val="02010600030101010101"/>
    <w:charset w:val="86"/>
    <w:family w:val="auto"/>
    <w:pitch w:val="variable"/>
    <w:sig w:usb0="00000003" w:usb1="288F0000" w:usb2="00000016" w:usb3="00000000" w:csb0="00040001" w:csb1="00000000"/>
  </w:font>
  <w:font w:name="MS Mincho">
    <w:panose1 w:val="02020609040205080304"/>
    <w:charset w:val="80"/>
    <w:family w:val="roman"/>
    <w:pitch w:val="fixed"/>
    <w:sig w:usb0="E00002FF" w:usb1="6AC7FDFB" w:usb2="08000012" w:usb3="00000000" w:csb0="0002009F" w:csb1="00000000"/>
  </w:font>
  <w:font w:name="等线">
    <w:charset w:val="86"/>
    <w:family w:val="script"/>
    <w:pitch w:val="variable"/>
    <w:sig w:usb0="A00002BF" w:usb1="38CF7CFA" w:usb2="00000016" w:usb3="00000000" w:csb0="0004000F" w:csb1="00000000"/>
  </w:font>
  <w:font w:name="等线 Light">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86CB0" w14:textId="4713A945" w:rsidR="004F7A38" w:rsidRDefault="004F7A3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13EB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13EB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3830F9" w14:textId="77777777" w:rsidR="004B357E" w:rsidRDefault="004B357E">
      <w:r>
        <w:separator/>
      </w:r>
    </w:p>
  </w:footnote>
  <w:footnote w:type="continuationSeparator" w:id="0">
    <w:p w14:paraId="1234DA9C" w14:textId="77777777" w:rsidR="004B357E" w:rsidRDefault="004B357E">
      <w:r>
        <w:continuationSeparator/>
      </w:r>
    </w:p>
  </w:footnote>
  <w:footnote w:type="continuationNotice" w:id="1">
    <w:p w14:paraId="4B3D52F5" w14:textId="77777777" w:rsidR="004B357E" w:rsidRDefault="004B357E">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9A5653" w14:textId="77777777" w:rsidR="004F7A38" w:rsidRDefault="004F7A3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54720" w14:textId="77777777" w:rsidR="004F7A38" w:rsidRDefault="004F7A3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72000EC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17A4EB9"/>
    <w:multiLevelType w:val="multilevel"/>
    <w:tmpl w:val="A2701314"/>
    <w:lvl w:ilvl="0">
      <w:start w:val="1"/>
      <w:numFmt w:val="decimal"/>
      <w:lvlText w:val="%1."/>
      <w:lvlJc w:val="left"/>
      <w:pPr>
        <w:tabs>
          <w:tab w:val="num" w:pos="2608"/>
        </w:tabs>
        <w:ind w:left="2608" w:hanging="1304"/>
      </w:pPr>
      <w:rPr>
        <w:rFonts w:hint="default"/>
      </w:rPr>
    </w:lvl>
    <w:lvl w:ilvl="1">
      <w:start w:val="1"/>
      <w:numFmt w:val="lowerLetter"/>
      <w:lvlText w:val="%2."/>
      <w:lvlJc w:val="left"/>
      <w:pPr>
        <w:tabs>
          <w:tab w:val="num" w:pos="2744"/>
        </w:tabs>
        <w:ind w:left="2744" w:hanging="360"/>
      </w:pPr>
    </w:lvl>
    <w:lvl w:ilvl="2">
      <w:start w:val="1"/>
      <w:numFmt w:val="lowerRoman"/>
      <w:lvlText w:val="%3."/>
      <w:lvlJc w:val="right"/>
      <w:pPr>
        <w:tabs>
          <w:tab w:val="num" w:pos="3464"/>
        </w:tabs>
        <w:ind w:left="3464" w:hanging="180"/>
      </w:pPr>
    </w:lvl>
    <w:lvl w:ilvl="3">
      <w:start w:val="1"/>
      <w:numFmt w:val="decimal"/>
      <w:lvlText w:val="%4."/>
      <w:lvlJc w:val="left"/>
      <w:pPr>
        <w:tabs>
          <w:tab w:val="num" w:pos="4184"/>
        </w:tabs>
        <w:ind w:left="4184" w:hanging="360"/>
      </w:pPr>
    </w:lvl>
    <w:lvl w:ilvl="4">
      <w:start w:val="1"/>
      <w:numFmt w:val="lowerLetter"/>
      <w:lvlText w:val="%5."/>
      <w:lvlJc w:val="left"/>
      <w:pPr>
        <w:tabs>
          <w:tab w:val="num" w:pos="4904"/>
        </w:tabs>
        <w:ind w:left="4904" w:hanging="360"/>
      </w:pPr>
    </w:lvl>
    <w:lvl w:ilvl="5">
      <w:start w:val="1"/>
      <w:numFmt w:val="lowerRoman"/>
      <w:lvlText w:val="%6."/>
      <w:lvlJc w:val="right"/>
      <w:pPr>
        <w:tabs>
          <w:tab w:val="num" w:pos="5624"/>
        </w:tabs>
        <w:ind w:left="5624" w:hanging="180"/>
      </w:pPr>
    </w:lvl>
    <w:lvl w:ilvl="6">
      <w:start w:val="1"/>
      <w:numFmt w:val="decimal"/>
      <w:lvlText w:val="%7."/>
      <w:lvlJc w:val="left"/>
      <w:pPr>
        <w:tabs>
          <w:tab w:val="num" w:pos="6344"/>
        </w:tabs>
        <w:ind w:left="6344" w:hanging="360"/>
      </w:pPr>
    </w:lvl>
    <w:lvl w:ilvl="7">
      <w:start w:val="1"/>
      <w:numFmt w:val="lowerLetter"/>
      <w:lvlText w:val="%8."/>
      <w:lvlJc w:val="left"/>
      <w:pPr>
        <w:tabs>
          <w:tab w:val="num" w:pos="7064"/>
        </w:tabs>
        <w:ind w:left="7064" w:hanging="360"/>
      </w:pPr>
    </w:lvl>
    <w:lvl w:ilvl="8">
      <w:start w:val="1"/>
      <w:numFmt w:val="lowerRoman"/>
      <w:lvlText w:val="%9."/>
      <w:lvlJc w:val="right"/>
      <w:pPr>
        <w:tabs>
          <w:tab w:val="num" w:pos="7784"/>
        </w:tabs>
        <w:ind w:left="7784" w:hanging="180"/>
      </w:pPr>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45B58F7"/>
    <w:multiLevelType w:val="hybridMultilevel"/>
    <w:tmpl w:val="6BAC3ED6"/>
    <w:lvl w:ilvl="0" w:tplc="C84A321A">
      <w:start w:val="5"/>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nsid w:val="0BDD5F2B"/>
    <w:multiLevelType w:val="multilevel"/>
    <w:tmpl w:val="81F87390"/>
    <w:lvl w:ilvl="0">
      <w:start w:val="1"/>
      <w:numFmt w:val="decimal"/>
      <w:suff w:val="nothing"/>
      <w:lvlText w:val="%1  "/>
      <w:lvlJc w:val="left"/>
      <w:pPr>
        <w:ind w:left="284" w:firstLine="0"/>
      </w:pPr>
      <w:rPr>
        <w:rFonts w:ascii="Arial" w:eastAsia="SimHei" w:hAnsi="Arial" w:cs="Times New Roman" w:hint="default"/>
        <w:b w:val="0"/>
        <w:i w:val="0"/>
        <w:sz w:val="36"/>
        <w:szCs w:val="36"/>
        <w:lang w:val="en-US"/>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2978" w:firstLine="0"/>
      </w:pPr>
      <w:rPr>
        <w:rFonts w:ascii="Arial" w:hAnsi="Arial" w:cs="Times New Roman" w:hint="default"/>
        <w:b/>
        <w:i w:val="0"/>
        <w:sz w:val="21"/>
        <w:szCs w:val="21"/>
      </w:rPr>
    </w:lvl>
    <w:lvl w:ilvl="3">
      <w:start w:val="1"/>
      <w:numFmt w:val="decimal"/>
      <w:suff w:val="nothing"/>
      <w:lvlText w:val="%1.%2.%3.%4  "/>
      <w:lvlJc w:val="left"/>
      <w:pPr>
        <w:snapToGrid w:val="0"/>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Cs w:val="2"/>
        <w:u w:val="none"/>
        <w:effect w:val="none"/>
        <w:vertAlign w:val="baseline"/>
        <w:em w:val="none"/>
        <w:specVanish w:val="0"/>
      </w:rPr>
    </w:lvl>
    <w:lvl w:ilvl="4">
      <w:start w:val="1"/>
      <w:numFmt w:val="decimal"/>
      <w:lvlText w:val="%5."/>
      <w:lvlJc w:val="left"/>
      <w:pPr>
        <w:tabs>
          <w:tab w:val="num" w:pos="738"/>
        </w:tabs>
        <w:ind w:left="738" w:hanging="312"/>
      </w:pPr>
      <w:rPr>
        <w:rFonts w:ascii="Times New Roman" w:hAnsi="Times New Roman"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suff w:val="space"/>
      <w:lvlText w:val="Figure %8"/>
      <w:lvlJc w:val="center"/>
      <w:pPr>
        <w:ind w:left="0" w:firstLine="0"/>
      </w:pPr>
      <w:rPr>
        <w:rFonts w:ascii="Arial" w:eastAsia="SimHei"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SimHei" w:hAnsi="Arial" w:cs="Times New Roman" w:hint="default"/>
        <w:b w:val="0"/>
        <w:i w:val="0"/>
        <w:sz w:val="18"/>
        <w:szCs w:val="18"/>
      </w:rPr>
    </w:lvl>
  </w:abstractNum>
  <w:abstractNum w:abstractNumId="8">
    <w:nsid w:val="10703CBA"/>
    <w:multiLevelType w:val="hybridMultilevel"/>
    <w:tmpl w:val="B2841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CF05A5"/>
    <w:multiLevelType w:val="hybridMultilevel"/>
    <w:tmpl w:val="54E07E70"/>
    <w:lvl w:ilvl="0" w:tplc="EDBAC062">
      <w:start w:val="1"/>
      <w:numFmt w:val="bullet"/>
      <w:lvlText w:val="›"/>
      <w:lvlJc w:val="left"/>
      <w:pPr>
        <w:tabs>
          <w:tab w:val="num" w:pos="720"/>
        </w:tabs>
        <w:ind w:left="720" w:hanging="360"/>
      </w:pPr>
      <w:rPr>
        <w:rFonts w:ascii="Arial" w:hAnsi="Arial" w:hint="default"/>
      </w:rPr>
    </w:lvl>
    <w:lvl w:ilvl="1" w:tplc="FB941A7E">
      <w:numFmt w:val="bullet"/>
      <w:lvlText w:val="–"/>
      <w:lvlJc w:val="left"/>
      <w:pPr>
        <w:tabs>
          <w:tab w:val="num" w:pos="1440"/>
        </w:tabs>
        <w:ind w:left="1440" w:hanging="360"/>
      </w:pPr>
      <w:rPr>
        <w:rFonts w:ascii="Ericsson Capital TT" w:hAnsi="Ericsson Capital TT" w:hint="default"/>
      </w:rPr>
    </w:lvl>
    <w:lvl w:ilvl="2" w:tplc="D08E5068" w:tentative="1">
      <w:start w:val="1"/>
      <w:numFmt w:val="bullet"/>
      <w:lvlText w:val="›"/>
      <w:lvlJc w:val="left"/>
      <w:pPr>
        <w:tabs>
          <w:tab w:val="num" w:pos="2160"/>
        </w:tabs>
        <w:ind w:left="2160" w:hanging="360"/>
      </w:pPr>
      <w:rPr>
        <w:rFonts w:ascii="Arial" w:hAnsi="Arial" w:hint="default"/>
      </w:rPr>
    </w:lvl>
    <w:lvl w:ilvl="3" w:tplc="2B14F75E" w:tentative="1">
      <w:start w:val="1"/>
      <w:numFmt w:val="bullet"/>
      <w:lvlText w:val="›"/>
      <w:lvlJc w:val="left"/>
      <w:pPr>
        <w:tabs>
          <w:tab w:val="num" w:pos="2880"/>
        </w:tabs>
        <w:ind w:left="2880" w:hanging="360"/>
      </w:pPr>
      <w:rPr>
        <w:rFonts w:ascii="Arial" w:hAnsi="Arial" w:hint="default"/>
      </w:rPr>
    </w:lvl>
    <w:lvl w:ilvl="4" w:tplc="60503B76" w:tentative="1">
      <w:start w:val="1"/>
      <w:numFmt w:val="bullet"/>
      <w:lvlText w:val="›"/>
      <w:lvlJc w:val="left"/>
      <w:pPr>
        <w:tabs>
          <w:tab w:val="num" w:pos="3600"/>
        </w:tabs>
        <w:ind w:left="3600" w:hanging="360"/>
      </w:pPr>
      <w:rPr>
        <w:rFonts w:ascii="Arial" w:hAnsi="Arial" w:hint="default"/>
      </w:rPr>
    </w:lvl>
    <w:lvl w:ilvl="5" w:tplc="95F0BD22" w:tentative="1">
      <w:start w:val="1"/>
      <w:numFmt w:val="bullet"/>
      <w:lvlText w:val="›"/>
      <w:lvlJc w:val="left"/>
      <w:pPr>
        <w:tabs>
          <w:tab w:val="num" w:pos="4320"/>
        </w:tabs>
        <w:ind w:left="4320" w:hanging="360"/>
      </w:pPr>
      <w:rPr>
        <w:rFonts w:ascii="Arial" w:hAnsi="Arial" w:hint="default"/>
      </w:rPr>
    </w:lvl>
    <w:lvl w:ilvl="6" w:tplc="65EA1B20" w:tentative="1">
      <w:start w:val="1"/>
      <w:numFmt w:val="bullet"/>
      <w:lvlText w:val="›"/>
      <w:lvlJc w:val="left"/>
      <w:pPr>
        <w:tabs>
          <w:tab w:val="num" w:pos="5040"/>
        </w:tabs>
        <w:ind w:left="5040" w:hanging="360"/>
      </w:pPr>
      <w:rPr>
        <w:rFonts w:ascii="Arial" w:hAnsi="Arial" w:hint="default"/>
      </w:rPr>
    </w:lvl>
    <w:lvl w:ilvl="7" w:tplc="EBC0D51E" w:tentative="1">
      <w:start w:val="1"/>
      <w:numFmt w:val="bullet"/>
      <w:lvlText w:val="›"/>
      <w:lvlJc w:val="left"/>
      <w:pPr>
        <w:tabs>
          <w:tab w:val="num" w:pos="5760"/>
        </w:tabs>
        <w:ind w:left="5760" w:hanging="360"/>
      </w:pPr>
      <w:rPr>
        <w:rFonts w:ascii="Arial" w:hAnsi="Arial" w:hint="default"/>
      </w:rPr>
    </w:lvl>
    <w:lvl w:ilvl="8" w:tplc="9DC0503C" w:tentative="1">
      <w:start w:val="1"/>
      <w:numFmt w:val="bullet"/>
      <w:lvlText w:val="›"/>
      <w:lvlJc w:val="left"/>
      <w:pPr>
        <w:tabs>
          <w:tab w:val="num" w:pos="6480"/>
        </w:tabs>
        <w:ind w:left="6480" w:hanging="360"/>
      </w:pPr>
      <w:rPr>
        <w:rFonts w:ascii="Arial" w:hAnsi="Arial" w:hint="default"/>
      </w:rPr>
    </w:lvl>
  </w:abstractNum>
  <w:abstractNum w:abstractNumId="10">
    <w:nsid w:val="18A93712"/>
    <w:multiLevelType w:val="hybridMultilevel"/>
    <w:tmpl w:val="9A6CACAA"/>
    <w:lvl w:ilvl="0" w:tplc="B5AC3264">
      <w:start w:val="1"/>
      <w:numFmt w:val="decimal"/>
      <w:lvlText w:val="%1)"/>
      <w:lvlJc w:val="left"/>
      <w:pPr>
        <w:ind w:left="2061" w:hanging="360"/>
      </w:pPr>
      <w:rPr>
        <w:rFonts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11">
    <w:nsid w:val="198C544B"/>
    <w:multiLevelType w:val="multilevel"/>
    <w:tmpl w:val="A80C5B28"/>
    <w:lvl w:ilvl="0">
      <w:start w:val="1"/>
      <w:numFmt w:val="lowerLetter"/>
      <w:lvlText w:val="%1."/>
      <w:lvlJc w:val="left"/>
      <w:pPr>
        <w:ind w:left="1664" w:hanging="360"/>
      </w:pPr>
      <w:rPr>
        <w:rFonts w:hint="default"/>
      </w:rPr>
    </w:lvl>
    <w:lvl w:ilvl="1">
      <w:start w:val="1"/>
      <w:numFmt w:val="lowerLetter"/>
      <w:lvlText w:val="%2."/>
      <w:lvlJc w:val="left"/>
      <w:pPr>
        <w:tabs>
          <w:tab w:val="num" w:pos="2744"/>
        </w:tabs>
        <w:ind w:left="2744" w:hanging="360"/>
      </w:pPr>
    </w:lvl>
    <w:lvl w:ilvl="2">
      <w:start w:val="1"/>
      <w:numFmt w:val="lowerRoman"/>
      <w:lvlText w:val="%3."/>
      <w:lvlJc w:val="right"/>
      <w:pPr>
        <w:tabs>
          <w:tab w:val="num" w:pos="3464"/>
        </w:tabs>
        <w:ind w:left="3464" w:hanging="180"/>
      </w:pPr>
    </w:lvl>
    <w:lvl w:ilvl="3">
      <w:start w:val="1"/>
      <w:numFmt w:val="decimal"/>
      <w:lvlText w:val="%4."/>
      <w:lvlJc w:val="left"/>
      <w:pPr>
        <w:tabs>
          <w:tab w:val="num" w:pos="4184"/>
        </w:tabs>
        <w:ind w:left="4184" w:hanging="360"/>
      </w:pPr>
    </w:lvl>
    <w:lvl w:ilvl="4">
      <w:start w:val="1"/>
      <w:numFmt w:val="lowerLetter"/>
      <w:lvlText w:val="%5."/>
      <w:lvlJc w:val="left"/>
      <w:pPr>
        <w:tabs>
          <w:tab w:val="num" w:pos="4904"/>
        </w:tabs>
        <w:ind w:left="4904" w:hanging="360"/>
      </w:pPr>
    </w:lvl>
    <w:lvl w:ilvl="5">
      <w:start w:val="1"/>
      <w:numFmt w:val="lowerRoman"/>
      <w:lvlText w:val="%6."/>
      <w:lvlJc w:val="right"/>
      <w:pPr>
        <w:tabs>
          <w:tab w:val="num" w:pos="5624"/>
        </w:tabs>
        <w:ind w:left="5624" w:hanging="180"/>
      </w:pPr>
    </w:lvl>
    <w:lvl w:ilvl="6">
      <w:start w:val="1"/>
      <w:numFmt w:val="decimal"/>
      <w:lvlText w:val="%7."/>
      <w:lvlJc w:val="left"/>
      <w:pPr>
        <w:tabs>
          <w:tab w:val="num" w:pos="6344"/>
        </w:tabs>
        <w:ind w:left="6344" w:hanging="360"/>
      </w:pPr>
    </w:lvl>
    <w:lvl w:ilvl="7">
      <w:start w:val="1"/>
      <w:numFmt w:val="lowerLetter"/>
      <w:lvlText w:val="%8."/>
      <w:lvlJc w:val="left"/>
      <w:pPr>
        <w:tabs>
          <w:tab w:val="num" w:pos="7064"/>
        </w:tabs>
        <w:ind w:left="7064" w:hanging="360"/>
      </w:pPr>
    </w:lvl>
    <w:lvl w:ilvl="8">
      <w:start w:val="1"/>
      <w:numFmt w:val="lowerRoman"/>
      <w:lvlText w:val="%9."/>
      <w:lvlJc w:val="right"/>
      <w:pPr>
        <w:tabs>
          <w:tab w:val="num" w:pos="7784"/>
        </w:tabs>
        <w:ind w:left="7784" w:hanging="180"/>
      </w:pPr>
    </w:lvl>
  </w:abstractNum>
  <w:abstractNum w:abstractNumId="12">
    <w:nsid w:val="1A707E73"/>
    <w:multiLevelType w:val="hybridMultilevel"/>
    <w:tmpl w:val="7B446A1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nsid w:val="1AC94D51"/>
    <w:multiLevelType w:val="hybridMultilevel"/>
    <w:tmpl w:val="91A4CB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nsid w:val="1C9546E4"/>
    <w:multiLevelType w:val="hybridMultilevel"/>
    <w:tmpl w:val="98CA132A"/>
    <w:lvl w:ilvl="0" w:tplc="AAA050C6">
      <w:start w:val="1"/>
      <w:numFmt w:val="bullet"/>
      <w:lvlText w:val="–"/>
      <w:lvlJc w:val="left"/>
      <w:pPr>
        <w:tabs>
          <w:tab w:val="num" w:pos="720"/>
        </w:tabs>
        <w:ind w:left="720" w:hanging="360"/>
      </w:pPr>
      <w:rPr>
        <w:rFonts w:ascii="Ericsson Capital TT" w:hAnsi="Ericsson Capital TT" w:hint="default"/>
      </w:rPr>
    </w:lvl>
    <w:lvl w:ilvl="1" w:tplc="45EE332A">
      <w:start w:val="1"/>
      <w:numFmt w:val="bullet"/>
      <w:lvlText w:val="–"/>
      <w:lvlJc w:val="left"/>
      <w:pPr>
        <w:tabs>
          <w:tab w:val="num" w:pos="1440"/>
        </w:tabs>
        <w:ind w:left="1440" w:hanging="360"/>
      </w:pPr>
      <w:rPr>
        <w:rFonts w:ascii="Ericsson Capital TT" w:hAnsi="Ericsson Capital TT" w:hint="default"/>
      </w:rPr>
    </w:lvl>
    <w:lvl w:ilvl="2" w:tplc="4F329DDC" w:tentative="1">
      <w:start w:val="1"/>
      <w:numFmt w:val="bullet"/>
      <w:lvlText w:val="–"/>
      <w:lvlJc w:val="left"/>
      <w:pPr>
        <w:tabs>
          <w:tab w:val="num" w:pos="2160"/>
        </w:tabs>
        <w:ind w:left="2160" w:hanging="360"/>
      </w:pPr>
      <w:rPr>
        <w:rFonts w:ascii="Ericsson Capital TT" w:hAnsi="Ericsson Capital TT" w:hint="default"/>
      </w:rPr>
    </w:lvl>
    <w:lvl w:ilvl="3" w:tplc="73421138" w:tentative="1">
      <w:start w:val="1"/>
      <w:numFmt w:val="bullet"/>
      <w:lvlText w:val="–"/>
      <w:lvlJc w:val="left"/>
      <w:pPr>
        <w:tabs>
          <w:tab w:val="num" w:pos="2880"/>
        </w:tabs>
        <w:ind w:left="2880" w:hanging="360"/>
      </w:pPr>
      <w:rPr>
        <w:rFonts w:ascii="Ericsson Capital TT" w:hAnsi="Ericsson Capital TT" w:hint="default"/>
      </w:rPr>
    </w:lvl>
    <w:lvl w:ilvl="4" w:tplc="091CF46C" w:tentative="1">
      <w:start w:val="1"/>
      <w:numFmt w:val="bullet"/>
      <w:lvlText w:val="–"/>
      <w:lvlJc w:val="left"/>
      <w:pPr>
        <w:tabs>
          <w:tab w:val="num" w:pos="3600"/>
        </w:tabs>
        <w:ind w:left="3600" w:hanging="360"/>
      </w:pPr>
      <w:rPr>
        <w:rFonts w:ascii="Ericsson Capital TT" w:hAnsi="Ericsson Capital TT" w:hint="default"/>
      </w:rPr>
    </w:lvl>
    <w:lvl w:ilvl="5" w:tplc="7E10D2E2" w:tentative="1">
      <w:start w:val="1"/>
      <w:numFmt w:val="bullet"/>
      <w:lvlText w:val="–"/>
      <w:lvlJc w:val="left"/>
      <w:pPr>
        <w:tabs>
          <w:tab w:val="num" w:pos="4320"/>
        </w:tabs>
        <w:ind w:left="4320" w:hanging="360"/>
      </w:pPr>
      <w:rPr>
        <w:rFonts w:ascii="Ericsson Capital TT" w:hAnsi="Ericsson Capital TT" w:hint="default"/>
      </w:rPr>
    </w:lvl>
    <w:lvl w:ilvl="6" w:tplc="BC3CE7DC" w:tentative="1">
      <w:start w:val="1"/>
      <w:numFmt w:val="bullet"/>
      <w:lvlText w:val="–"/>
      <w:lvlJc w:val="left"/>
      <w:pPr>
        <w:tabs>
          <w:tab w:val="num" w:pos="5040"/>
        </w:tabs>
        <w:ind w:left="5040" w:hanging="360"/>
      </w:pPr>
      <w:rPr>
        <w:rFonts w:ascii="Ericsson Capital TT" w:hAnsi="Ericsson Capital TT" w:hint="default"/>
      </w:rPr>
    </w:lvl>
    <w:lvl w:ilvl="7" w:tplc="916E8BE8" w:tentative="1">
      <w:start w:val="1"/>
      <w:numFmt w:val="bullet"/>
      <w:lvlText w:val="–"/>
      <w:lvlJc w:val="left"/>
      <w:pPr>
        <w:tabs>
          <w:tab w:val="num" w:pos="5760"/>
        </w:tabs>
        <w:ind w:left="5760" w:hanging="360"/>
      </w:pPr>
      <w:rPr>
        <w:rFonts w:ascii="Ericsson Capital TT" w:hAnsi="Ericsson Capital TT" w:hint="default"/>
      </w:rPr>
    </w:lvl>
    <w:lvl w:ilvl="8" w:tplc="AE407362" w:tentative="1">
      <w:start w:val="1"/>
      <w:numFmt w:val="bullet"/>
      <w:lvlText w:val="–"/>
      <w:lvlJc w:val="left"/>
      <w:pPr>
        <w:tabs>
          <w:tab w:val="num" w:pos="6480"/>
        </w:tabs>
        <w:ind w:left="6480" w:hanging="360"/>
      </w:pPr>
      <w:rPr>
        <w:rFonts w:ascii="Ericsson Capital TT" w:hAnsi="Ericsson Capital TT" w:hint="default"/>
      </w:rPr>
    </w:lvl>
  </w:abstractNum>
  <w:abstractNum w:abstractNumId="15">
    <w:nsid w:val="1D6E44B0"/>
    <w:multiLevelType w:val="hybridMultilevel"/>
    <w:tmpl w:val="296217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nsid w:val="23A34AC5"/>
    <w:multiLevelType w:val="hybridMultilevel"/>
    <w:tmpl w:val="0A769AC0"/>
    <w:lvl w:ilvl="0" w:tplc="08090019">
      <w:start w:val="1"/>
      <w:numFmt w:val="lowerLetter"/>
      <w:lvlText w:val="%1."/>
      <w:lvlJc w:val="left"/>
      <w:pPr>
        <w:ind w:left="1664" w:hanging="360"/>
      </w:pPr>
      <w:rPr>
        <w:rFonts w:hint="default"/>
      </w:rPr>
    </w:lvl>
    <w:lvl w:ilvl="1" w:tplc="08090001">
      <w:start w:val="1"/>
      <w:numFmt w:val="bullet"/>
      <w:lvlText w:val=""/>
      <w:lvlJc w:val="left"/>
      <w:pPr>
        <w:ind w:left="2744" w:hanging="360"/>
      </w:pPr>
      <w:rPr>
        <w:rFonts w:ascii="Symbol" w:hAnsi="Symbol" w:hint="default"/>
      </w:rPr>
    </w:lvl>
    <w:lvl w:ilvl="2" w:tplc="0409001B" w:tentative="1">
      <w:start w:val="1"/>
      <w:numFmt w:val="lowerRoman"/>
      <w:lvlText w:val="%3."/>
      <w:lvlJc w:val="right"/>
      <w:pPr>
        <w:tabs>
          <w:tab w:val="num" w:pos="3464"/>
        </w:tabs>
        <w:ind w:left="3464" w:hanging="180"/>
      </w:pPr>
    </w:lvl>
    <w:lvl w:ilvl="3" w:tplc="0409000F" w:tentative="1">
      <w:start w:val="1"/>
      <w:numFmt w:val="decimal"/>
      <w:lvlText w:val="%4."/>
      <w:lvlJc w:val="left"/>
      <w:pPr>
        <w:tabs>
          <w:tab w:val="num" w:pos="4184"/>
        </w:tabs>
        <w:ind w:left="4184" w:hanging="360"/>
      </w:pPr>
    </w:lvl>
    <w:lvl w:ilvl="4" w:tplc="04090019" w:tentative="1">
      <w:start w:val="1"/>
      <w:numFmt w:val="lowerLetter"/>
      <w:lvlText w:val="%5."/>
      <w:lvlJc w:val="left"/>
      <w:pPr>
        <w:tabs>
          <w:tab w:val="num" w:pos="4904"/>
        </w:tabs>
        <w:ind w:left="4904" w:hanging="360"/>
      </w:pPr>
    </w:lvl>
    <w:lvl w:ilvl="5" w:tplc="0409001B" w:tentative="1">
      <w:start w:val="1"/>
      <w:numFmt w:val="lowerRoman"/>
      <w:lvlText w:val="%6."/>
      <w:lvlJc w:val="right"/>
      <w:pPr>
        <w:tabs>
          <w:tab w:val="num" w:pos="5624"/>
        </w:tabs>
        <w:ind w:left="5624" w:hanging="180"/>
      </w:pPr>
    </w:lvl>
    <w:lvl w:ilvl="6" w:tplc="0409000F" w:tentative="1">
      <w:start w:val="1"/>
      <w:numFmt w:val="decimal"/>
      <w:lvlText w:val="%7."/>
      <w:lvlJc w:val="left"/>
      <w:pPr>
        <w:tabs>
          <w:tab w:val="num" w:pos="6344"/>
        </w:tabs>
        <w:ind w:left="6344" w:hanging="360"/>
      </w:pPr>
    </w:lvl>
    <w:lvl w:ilvl="7" w:tplc="04090019" w:tentative="1">
      <w:start w:val="1"/>
      <w:numFmt w:val="lowerLetter"/>
      <w:lvlText w:val="%8."/>
      <w:lvlJc w:val="left"/>
      <w:pPr>
        <w:tabs>
          <w:tab w:val="num" w:pos="7064"/>
        </w:tabs>
        <w:ind w:left="7064" w:hanging="360"/>
      </w:pPr>
    </w:lvl>
    <w:lvl w:ilvl="8" w:tplc="0409001B" w:tentative="1">
      <w:start w:val="1"/>
      <w:numFmt w:val="lowerRoman"/>
      <w:lvlText w:val="%9."/>
      <w:lvlJc w:val="right"/>
      <w:pPr>
        <w:tabs>
          <w:tab w:val="num" w:pos="7784"/>
        </w:tabs>
        <w:ind w:left="7784" w:hanging="180"/>
      </w:pPr>
    </w:lvl>
  </w:abstractNum>
  <w:abstractNum w:abstractNumId="18">
    <w:nsid w:val="23FB1660"/>
    <w:multiLevelType w:val="hybridMultilevel"/>
    <w:tmpl w:val="C1D0E85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9">
    <w:nsid w:val="26C51A4E"/>
    <w:multiLevelType w:val="hybridMultilevel"/>
    <w:tmpl w:val="0E8675FC"/>
    <w:lvl w:ilvl="0" w:tplc="D6EA8386">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2D2349F3"/>
    <w:multiLevelType w:val="hybridMultilevel"/>
    <w:tmpl w:val="4274CFA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2">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5D57BD9"/>
    <w:multiLevelType w:val="hybridMultilevel"/>
    <w:tmpl w:val="A83A563C"/>
    <w:lvl w:ilvl="0" w:tplc="A2FE5CFC">
      <w:start w:val="1"/>
      <w:numFmt w:val="lowerLetter"/>
      <w:lvlText w:val="%1."/>
      <w:lvlJc w:val="left"/>
      <w:pPr>
        <w:ind w:left="2061" w:hanging="360"/>
      </w:pPr>
      <w:rPr>
        <w:rFonts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25">
    <w:nsid w:val="393B4472"/>
    <w:multiLevelType w:val="hybridMultilevel"/>
    <w:tmpl w:val="81C49F9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nsid w:val="3D5C358B"/>
    <w:multiLevelType w:val="hybridMultilevel"/>
    <w:tmpl w:val="3B0CBBE0"/>
    <w:lvl w:ilvl="0" w:tplc="998C0E5C">
      <w:start w:val="1"/>
      <w:numFmt w:val="decimal"/>
      <w:lvlText w:val="%1)"/>
      <w:lvlJc w:val="left"/>
      <w:pPr>
        <w:ind w:left="2061" w:hanging="360"/>
      </w:pPr>
      <w:rPr>
        <w:rFonts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29">
    <w:nsid w:val="3EB32541"/>
    <w:multiLevelType w:val="hybridMultilevel"/>
    <w:tmpl w:val="D6FABAD4"/>
    <w:lvl w:ilvl="0" w:tplc="6EA2B374">
      <w:start w:val="1"/>
      <w:numFmt w:val="decimal"/>
      <w:lvlText w:val="%1)"/>
      <w:lvlJc w:val="left"/>
      <w:pPr>
        <w:ind w:left="2061" w:hanging="360"/>
      </w:pPr>
      <w:rPr>
        <w:rFonts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30">
    <w:nsid w:val="402C0F98"/>
    <w:multiLevelType w:val="hybridMultilevel"/>
    <w:tmpl w:val="DFCEA1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81170A6"/>
    <w:multiLevelType w:val="hybridMultilevel"/>
    <w:tmpl w:val="27B4AFFC"/>
    <w:lvl w:ilvl="0" w:tplc="6ACC8AFA">
      <w:start w:val="1"/>
      <w:numFmt w:val="decimal"/>
      <w:lvlText w:val="%1."/>
      <w:lvlJc w:val="left"/>
      <w:pPr>
        <w:ind w:left="1619" w:hanging="360"/>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abstractNum w:abstractNumId="3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4B912A2"/>
    <w:multiLevelType w:val="hybridMultilevel"/>
    <w:tmpl w:val="F3EAE112"/>
    <w:lvl w:ilvl="0" w:tplc="041D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58F212E5"/>
    <w:multiLevelType w:val="hybridMultilevel"/>
    <w:tmpl w:val="6DF27BB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nsid w:val="5F284AFF"/>
    <w:multiLevelType w:val="hybridMultilevel"/>
    <w:tmpl w:val="7B446A1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nsid w:val="62757A17"/>
    <w:multiLevelType w:val="hybridMultilevel"/>
    <w:tmpl w:val="3C34F290"/>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0">
    <w:nsid w:val="68805504"/>
    <w:multiLevelType w:val="hybridMultilevel"/>
    <w:tmpl w:val="7C9C0C3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nsid w:val="6E44667A"/>
    <w:multiLevelType w:val="hybridMultilevel"/>
    <w:tmpl w:val="32C0379A"/>
    <w:lvl w:ilvl="0" w:tplc="5BB6EC62">
      <w:start w:val="1"/>
      <w:numFmt w:val="bullet"/>
      <w:lvlText w:val="›"/>
      <w:lvlJc w:val="left"/>
      <w:pPr>
        <w:tabs>
          <w:tab w:val="num" w:pos="360"/>
        </w:tabs>
        <w:ind w:left="360" w:hanging="360"/>
      </w:pPr>
      <w:rPr>
        <w:rFonts w:ascii="Arial" w:hAnsi="Arial" w:hint="default"/>
      </w:rPr>
    </w:lvl>
    <w:lvl w:ilvl="1" w:tplc="F35E289C">
      <w:start w:val="63"/>
      <w:numFmt w:val="bullet"/>
      <w:lvlText w:val="–"/>
      <w:lvlJc w:val="left"/>
      <w:pPr>
        <w:tabs>
          <w:tab w:val="num" w:pos="1080"/>
        </w:tabs>
        <w:ind w:left="1080" w:hanging="360"/>
      </w:pPr>
      <w:rPr>
        <w:rFonts w:ascii="Ericsson Capital TT" w:hAnsi="Ericsson Capital TT" w:hint="default"/>
      </w:rPr>
    </w:lvl>
    <w:lvl w:ilvl="2" w:tplc="65ACCF52" w:tentative="1">
      <w:start w:val="1"/>
      <w:numFmt w:val="bullet"/>
      <w:lvlText w:val="›"/>
      <w:lvlJc w:val="left"/>
      <w:pPr>
        <w:tabs>
          <w:tab w:val="num" w:pos="1800"/>
        </w:tabs>
        <w:ind w:left="1800" w:hanging="360"/>
      </w:pPr>
      <w:rPr>
        <w:rFonts w:ascii="Arial" w:hAnsi="Arial" w:hint="default"/>
      </w:rPr>
    </w:lvl>
    <w:lvl w:ilvl="3" w:tplc="FB7EA74A" w:tentative="1">
      <w:start w:val="1"/>
      <w:numFmt w:val="bullet"/>
      <w:lvlText w:val="›"/>
      <w:lvlJc w:val="left"/>
      <w:pPr>
        <w:tabs>
          <w:tab w:val="num" w:pos="2520"/>
        </w:tabs>
        <w:ind w:left="2520" w:hanging="360"/>
      </w:pPr>
      <w:rPr>
        <w:rFonts w:ascii="Arial" w:hAnsi="Arial" w:hint="default"/>
      </w:rPr>
    </w:lvl>
    <w:lvl w:ilvl="4" w:tplc="4630332A" w:tentative="1">
      <w:start w:val="1"/>
      <w:numFmt w:val="bullet"/>
      <w:lvlText w:val="›"/>
      <w:lvlJc w:val="left"/>
      <w:pPr>
        <w:tabs>
          <w:tab w:val="num" w:pos="3240"/>
        </w:tabs>
        <w:ind w:left="3240" w:hanging="360"/>
      </w:pPr>
      <w:rPr>
        <w:rFonts w:ascii="Arial" w:hAnsi="Arial" w:hint="default"/>
      </w:rPr>
    </w:lvl>
    <w:lvl w:ilvl="5" w:tplc="1EE21924" w:tentative="1">
      <w:start w:val="1"/>
      <w:numFmt w:val="bullet"/>
      <w:lvlText w:val="›"/>
      <w:lvlJc w:val="left"/>
      <w:pPr>
        <w:tabs>
          <w:tab w:val="num" w:pos="3960"/>
        </w:tabs>
        <w:ind w:left="3960" w:hanging="360"/>
      </w:pPr>
      <w:rPr>
        <w:rFonts w:ascii="Arial" w:hAnsi="Arial" w:hint="default"/>
      </w:rPr>
    </w:lvl>
    <w:lvl w:ilvl="6" w:tplc="DFECE16C" w:tentative="1">
      <w:start w:val="1"/>
      <w:numFmt w:val="bullet"/>
      <w:lvlText w:val="›"/>
      <w:lvlJc w:val="left"/>
      <w:pPr>
        <w:tabs>
          <w:tab w:val="num" w:pos="4680"/>
        </w:tabs>
        <w:ind w:left="4680" w:hanging="360"/>
      </w:pPr>
      <w:rPr>
        <w:rFonts w:ascii="Arial" w:hAnsi="Arial" w:hint="default"/>
      </w:rPr>
    </w:lvl>
    <w:lvl w:ilvl="7" w:tplc="B25E6344" w:tentative="1">
      <w:start w:val="1"/>
      <w:numFmt w:val="bullet"/>
      <w:lvlText w:val="›"/>
      <w:lvlJc w:val="left"/>
      <w:pPr>
        <w:tabs>
          <w:tab w:val="num" w:pos="5400"/>
        </w:tabs>
        <w:ind w:left="5400" w:hanging="360"/>
      </w:pPr>
      <w:rPr>
        <w:rFonts w:ascii="Arial" w:hAnsi="Arial" w:hint="default"/>
      </w:rPr>
    </w:lvl>
    <w:lvl w:ilvl="8" w:tplc="945ADE22" w:tentative="1">
      <w:start w:val="1"/>
      <w:numFmt w:val="bullet"/>
      <w:lvlText w:val="›"/>
      <w:lvlJc w:val="left"/>
      <w:pPr>
        <w:tabs>
          <w:tab w:val="num" w:pos="6120"/>
        </w:tabs>
        <w:ind w:left="6120" w:hanging="360"/>
      </w:pPr>
      <w:rPr>
        <w:rFonts w:ascii="Arial" w:hAnsi="Arial" w:hint="default"/>
      </w:rPr>
    </w:lvl>
  </w:abstractNum>
  <w:abstractNum w:abstractNumId="42">
    <w:nsid w:val="7E0E27F5"/>
    <w:multiLevelType w:val="hybridMultilevel"/>
    <w:tmpl w:val="345E86BE"/>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33"/>
  </w:num>
  <w:num w:numId="3">
    <w:abstractNumId w:val="26"/>
  </w:num>
  <w:num w:numId="4">
    <w:abstractNumId w:val="27"/>
  </w:num>
  <w:num w:numId="5">
    <w:abstractNumId w:val="22"/>
  </w:num>
  <w:num w:numId="6">
    <w:abstractNumId w:val="31"/>
  </w:num>
  <w:num w:numId="7">
    <w:abstractNumId w:val="36"/>
  </w:num>
  <w:num w:numId="8">
    <w:abstractNumId w:val="23"/>
  </w:num>
  <w:num w:numId="9">
    <w:abstractNumId w:val="20"/>
  </w:num>
  <w:num w:numId="10">
    <w:abstractNumId w:val="3"/>
  </w:num>
  <w:num w:numId="11">
    <w:abstractNumId w:val="2"/>
  </w:num>
  <w:num w:numId="12">
    <w:abstractNumId w:val="1"/>
  </w:num>
  <w:num w:numId="13">
    <w:abstractNumId w:val="34"/>
  </w:num>
  <w:num w:numId="14">
    <w:abstractNumId w:val="26"/>
    <w:lvlOverride w:ilvl="0">
      <w:startOverride w:val="1"/>
    </w:lvlOverride>
  </w:num>
  <w:num w:numId="15">
    <w:abstractNumId w:val="34"/>
    <w:lvlOverride w:ilvl="0">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9"/>
  </w:num>
  <w:num w:numId="19">
    <w:abstractNumId w:val="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1"/>
  </w:num>
  <w:num w:numId="23">
    <w:abstractNumId w:val="41"/>
  </w:num>
  <w:num w:numId="24">
    <w:abstractNumId w:val="26"/>
  </w:num>
  <w:num w:numId="25">
    <w:abstractNumId w:val="17"/>
  </w:num>
  <w:num w:numId="26">
    <w:abstractNumId w:val="0"/>
  </w:num>
  <w:num w:numId="27">
    <w:abstractNumId w:val="4"/>
  </w:num>
  <w:num w:numId="28">
    <w:abstractNumId w:val="11"/>
  </w:num>
  <w:num w:numId="29">
    <w:abstractNumId w:val="37"/>
  </w:num>
  <w:num w:numId="30">
    <w:abstractNumId w:val="9"/>
  </w:num>
  <w:num w:numId="31">
    <w:abstractNumId w:val="30"/>
  </w:num>
  <w:num w:numId="32">
    <w:abstractNumId w:val="42"/>
  </w:num>
  <w:num w:numId="33">
    <w:abstractNumId w:val="24"/>
  </w:num>
  <w:num w:numId="3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28"/>
  </w:num>
  <w:num w:numId="38">
    <w:abstractNumId w:val="40"/>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num>
  <w:num w:numId="48">
    <w:abstractNumId w:val="15"/>
  </w:num>
  <w:num w:numId="49">
    <w:abstractNumId w:val="38"/>
  </w:num>
  <w:num w:numId="50">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9"/>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CB7"/>
    <w:rsid w:val="00002A37"/>
    <w:rsid w:val="00002F4E"/>
    <w:rsid w:val="00003A0B"/>
    <w:rsid w:val="00004706"/>
    <w:rsid w:val="0000484A"/>
    <w:rsid w:val="00006446"/>
    <w:rsid w:val="00006896"/>
    <w:rsid w:val="00006E95"/>
    <w:rsid w:val="00007689"/>
    <w:rsid w:val="00007CDC"/>
    <w:rsid w:val="00010564"/>
    <w:rsid w:val="00011B28"/>
    <w:rsid w:val="00013859"/>
    <w:rsid w:val="00015363"/>
    <w:rsid w:val="00015D15"/>
    <w:rsid w:val="00016D75"/>
    <w:rsid w:val="00017802"/>
    <w:rsid w:val="000211AE"/>
    <w:rsid w:val="0002193E"/>
    <w:rsid w:val="00021B9E"/>
    <w:rsid w:val="000252A8"/>
    <w:rsid w:val="0002564D"/>
    <w:rsid w:val="0002570C"/>
    <w:rsid w:val="00025BEB"/>
    <w:rsid w:val="00025ECA"/>
    <w:rsid w:val="00027939"/>
    <w:rsid w:val="0003010F"/>
    <w:rsid w:val="000325B8"/>
    <w:rsid w:val="00032BF6"/>
    <w:rsid w:val="00034241"/>
    <w:rsid w:val="00034C15"/>
    <w:rsid w:val="000359F5"/>
    <w:rsid w:val="000368F9"/>
    <w:rsid w:val="00036BA1"/>
    <w:rsid w:val="000373D3"/>
    <w:rsid w:val="00041EDA"/>
    <w:rsid w:val="000422E2"/>
    <w:rsid w:val="00042F22"/>
    <w:rsid w:val="00043D89"/>
    <w:rsid w:val="000444EF"/>
    <w:rsid w:val="000445A6"/>
    <w:rsid w:val="00044E32"/>
    <w:rsid w:val="00045319"/>
    <w:rsid w:val="00045A57"/>
    <w:rsid w:val="00050D1C"/>
    <w:rsid w:val="00051275"/>
    <w:rsid w:val="00052A07"/>
    <w:rsid w:val="000534E3"/>
    <w:rsid w:val="00054FFD"/>
    <w:rsid w:val="0005606A"/>
    <w:rsid w:val="000563C4"/>
    <w:rsid w:val="00056E04"/>
    <w:rsid w:val="00057117"/>
    <w:rsid w:val="000574AB"/>
    <w:rsid w:val="000616E7"/>
    <w:rsid w:val="00062241"/>
    <w:rsid w:val="00063516"/>
    <w:rsid w:val="0006487E"/>
    <w:rsid w:val="00064E8A"/>
    <w:rsid w:val="00065E1A"/>
    <w:rsid w:val="00066BF6"/>
    <w:rsid w:val="0007103F"/>
    <w:rsid w:val="00071D9E"/>
    <w:rsid w:val="000732A8"/>
    <w:rsid w:val="00073DB7"/>
    <w:rsid w:val="00074CD3"/>
    <w:rsid w:val="00075EF0"/>
    <w:rsid w:val="000764CC"/>
    <w:rsid w:val="00077E5F"/>
    <w:rsid w:val="0008036A"/>
    <w:rsid w:val="00080429"/>
    <w:rsid w:val="00081535"/>
    <w:rsid w:val="00081AE6"/>
    <w:rsid w:val="00081D68"/>
    <w:rsid w:val="00081F40"/>
    <w:rsid w:val="0008226D"/>
    <w:rsid w:val="000855EB"/>
    <w:rsid w:val="00085B52"/>
    <w:rsid w:val="00086596"/>
    <w:rsid w:val="000866F2"/>
    <w:rsid w:val="00086E2D"/>
    <w:rsid w:val="0008783E"/>
    <w:rsid w:val="0009009F"/>
    <w:rsid w:val="00091557"/>
    <w:rsid w:val="000924C1"/>
    <w:rsid w:val="000924F0"/>
    <w:rsid w:val="00092DB9"/>
    <w:rsid w:val="00093474"/>
    <w:rsid w:val="000935C7"/>
    <w:rsid w:val="000950EA"/>
    <w:rsid w:val="0009510F"/>
    <w:rsid w:val="00095AA7"/>
    <w:rsid w:val="00095C83"/>
    <w:rsid w:val="000971DF"/>
    <w:rsid w:val="000A1B7B"/>
    <w:rsid w:val="000A2AC7"/>
    <w:rsid w:val="000A399B"/>
    <w:rsid w:val="000A4E98"/>
    <w:rsid w:val="000A56F2"/>
    <w:rsid w:val="000A60EC"/>
    <w:rsid w:val="000A7644"/>
    <w:rsid w:val="000A79F1"/>
    <w:rsid w:val="000B0422"/>
    <w:rsid w:val="000B1366"/>
    <w:rsid w:val="000B1519"/>
    <w:rsid w:val="000B2719"/>
    <w:rsid w:val="000B3A8F"/>
    <w:rsid w:val="000B4781"/>
    <w:rsid w:val="000B4AB9"/>
    <w:rsid w:val="000B58C3"/>
    <w:rsid w:val="000B61E9"/>
    <w:rsid w:val="000B6F5A"/>
    <w:rsid w:val="000C165A"/>
    <w:rsid w:val="000C1EFA"/>
    <w:rsid w:val="000C2E19"/>
    <w:rsid w:val="000C3E4F"/>
    <w:rsid w:val="000C5A6B"/>
    <w:rsid w:val="000D0D07"/>
    <w:rsid w:val="000D23F7"/>
    <w:rsid w:val="000D4797"/>
    <w:rsid w:val="000D73CC"/>
    <w:rsid w:val="000D7830"/>
    <w:rsid w:val="000D794C"/>
    <w:rsid w:val="000D7FD4"/>
    <w:rsid w:val="000E0527"/>
    <w:rsid w:val="000E1E92"/>
    <w:rsid w:val="000E27D4"/>
    <w:rsid w:val="000E2A9E"/>
    <w:rsid w:val="000E3C8C"/>
    <w:rsid w:val="000E5810"/>
    <w:rsid w:val="000E634A"/>
    <w:rsid w:val="000F06D6"/>
    <w:rsid w:val="000F0EB1"/>
    <w:rsid w:val="000F1106"/>
    <w:rsid w:val="000F253E"/>
    <w:rsid w:val="000F2825"/>
    <w:rsid w:val="000F2BAA"/>
    <w:rsid w:val="000F3585"/>
    <w:rsid w:val="000F3809"/>
    <w:rsid w:val="000F3BE9"/>
    <w:rsid w:val="000F3F6C"/>
    <w:rsid w:val="000F4CE5"/>
    <w:rsid w:val="000F6DF3"/>
    <w:rsid w:val="000F786F"/>
    <w:rsid w:val="001005FF"/>
    <w:rsid w:val="00103DFC"/>
    <w:rsid w:val="00103E5B"/>
    <w:rsid w:val="00105494"/>
    <w:rsid w:val="001062FB"/>
    <w:rsid w:val="001063E6"/>
    <w:rsid w:val="00106DC6"/>
    <w:rsid w:val="0010701F"/>
    <w:rsid w:val="0011063E"/>
    <w:rsid w:val="00112F08"/>
    <w:rsid w:val="00113CF4"/>
    <w:rsid w:val="001153EA"/>
    <w:rsid w:val="00115643"/>
    <w:rsid w:val="00116765"/>
    <w:rsid w:val="00120A07"/>
    <w:rsid w:val="00120C4E"/>
    <w:rsid w:val="00120E3F"/>
    <w:rsid w:val="001219F5"/>
    <w:rsid w:val="00121A20"/>
    <w:rsid w:val="00122F2E"/>
    <w:rsid w:val="00123067"/>
    <w:rsid w:val="0012345A"/>
    <w:rsid w:val="0012377F"/>
    <w:rsid w:val="00124314"/>
    <w:rsid w:val="001245D7"/>
    <w:rsid w:val="00126B4A"/>
    <w:rsid w:val="00130B02"/>
    <w:rsid w:val="00130C81"/>
    <w:rsid w:val="00130DF5"/>
    <w:rsid w:val="00132407"/>
    <w:rsid w:val="001328E4"/>
    <w:rsid w:val="00132CAB"/>
    <w:rsid w:val="00132FD0"/>
    <w:rsid w:val="0013301E"/>
    <w:rsid w:val="001344C0"/>
    <w:rsid w:val="001346FA"/>
    <w:rsid w:val="00135252"/>
    <w:rsid w:val="00135C22"/>
    <w:rsid w:val="001368BC"/>
    <w:rsid w:val="00137AB5"/>
    <w:rsid w:val="00137F0B"/>
    <w:rsid w:val="0014066E"/>
    <w:rsid w:val="00140DC8"/>
    <w:rsid w:val="00141371"/>
    <w:rsid w:val="00141725"/>
    <w:rsid w:val="00143AAC"/>
    <w:rsid w:val="0014659F"/>
    <w:rsid w:val="00146A94"/>
    <w:rsid w:val="00146EB5"/>
    <w:rsid w:val="001470DC"/>
    <w:rsid w:val="00150173"/>
    <w:rsid w:val="00151143"/>
    <w:rsid w:val="0015122F"/>
    <w:rsid w:val="00151E23"/>
    <w:rsid w:val="001526E0"/>
    <w:rsid w:val="00152C08"/>
    <w:rsid w:val="001551B5"/>
    <w:rsid w:val="00155372"/>
    <w:rsid w:val="00155388"/>
    <w:rsid w:val="0015541E"/>
    <w:rsid w:val="0015667E"/>
    <w:rsid w:val="00156FD7"/>
    <w:rsid w:val="001577AC"/>
    <w:rsid w:val="00157BAC"/>
    <w:rsid w:val="00157FAE"/>
    <w:rsid w:val="00161061"/>
    <w:rsid w:val="0016177E"/>
    <w:rsid w:val="001643A8"/>
    <w:rsid w:val="00164DF7"/>
    <w:rsid w:val="001659C1"/>
    <w:rsid w:val="00166F77"/>
    <w:rsid w:val="001679B1"/>
    <w:rsid w:val="00167B4A"/>
    <w:rsid w:val="00167C5E"/>
    <w:rsid w:val="00172E95"/>
    <w:rsid w:val="00173A8E"/>
    <w:rsid w:val="00173EDE"/>
    <w:rsid w:val="00174042"/>
    <w:rsid w:val="001746BF"/>
    <w:rsid w:val="00175298"/>
    <w:rsid w:val="00175C2D"/>
    <w:rsid w:val="00176426"/>
    <w:rsid w:val="00176B13"/>
    <w:rsid w:val="00176D1C"/>
    <w:rsid w:val="0017760E"/>
    <w:rsid w:val="00177795"/>
    <w:rsid w:val="001777B1"/>
    <w:rsid w:val="001779D9"/>
    <w:rsid w:val="0018143F"/>
    <w:rsid w:val="00182989"/>
    <w:rsid w:val="0018381E"/>
    <w:rsid w:val="00185D8F"/>
    <w:rsid w:val="00185F96"/>
    <w:rsid w:val="001861C1"/>
    <w:rsid w:val="00186F6F"/>
    <w:rsid w:val="00190A6E"/>
    <w:rsid w:val="00190AC1"/>
    <w:rsid w:val="00191DAA"/>
    <w:rsid w:val="0019341A"/>
    <w:rsid w:val="0019445E"/>
    <w:rsid w:val="001944D0"/>
    <w:rsid w:val="00194C77"/>
    <w:rsid w:val="00195D98"/>
    <w:rsid w:val="00197CAB"/>
    <w:rsid w:val="00197DF9"/>
    <w:rsid w:val="001A1987"/>
    <w:rsid w:val="001A1B2E"/>
    <w:rsid w:val="001A22D4"/>
    <w:rsid w:val="001A2564"/>
    <w:rsid w:val="001A25BE"/>
    <w:rsid w:val="001A27F3"/>
    <w:rsid w:val="001A3123"/>
    <w:rsid w:val="001A4406"/>
    <w:rsid w:val="001A50DB"/>
    <w:rsid w:val="001A6173"/>
    <w:rsid w:val="001A6CBA"/>
    <w:rsid w:val="001B0D97"/>
    <w:rsid w:val="001B11D6"/>
    <w:rsid w:val="001B3084"/>
    <w:rsid w:val="001B331B"/>
    <w:rsid w:val="001B3538"/>
    <w:rsid w:val="001B4CD3"/>
    <w:rsid w:val="001B5A5D"/>
    <w:rsid w:val="001B7D06"/>
    <w:rsid w:val="001C0E6E"/>
    <w:rsid w:val="001C1CE5"/>
    <w:rsid w:val="001C3D2A"/>
    <w:rsid w:val="001C4B32"/>
    <w:rsid w:val="001C4D9C"/>
    <w:rsid w:val="001C51ED"/>
    <w:rsid w:val="001C571F"/>
    <w:rsid w:val="001C6495"/>
    <w:rsid w:val="001C7313"/>
    <w:rsid w:val="001D0D23"/>
    <w:rsid w:val="001D0FE1"/>
    <w:rsid w:val="001D1857"/>
    <w:rsid w:val="001D19EA"/>
    <w:rsid w:val="001D4BA3"/>
    <w:rsid w:val="001D51BA"/>
    <w:rsid w:val="001D6342"/>
    <w:rsid w:val="001D6D53"/>
    <w:rsid w:val="001D6E57"/>
    <w:rsid w:val="001D7474"/>
    <w:rsid w:val="001D7B6A"/>
    <w:rsid w:val="001D7BED"/>
    <w:rsid w:val="001D7E95"/>
    <w:rsid w:val="001E2531"/>
    <w:rsid w:val="001E4A2C"/>
    <w:rsid w:val="001E5394"/>
    <w:rsid w:val="001E58E2"/>
    <w:rsid w:val="001E786C"/>
    <w:rsid w:val="001E7AED"/>
    <w:rsid w:val="001F09C3"/>
    <w:rsid w:val="001F12F5"/>
    <w:rsid w:val="001F27AA"/>
    <w:rsid w:val="001F3916"/>
    <w:rsid w:val="001F3C26"/>
    <w:rsid w:val="001F4C7D"/>
    <w:rsid w:val="001F54C5"/>
    <w:rsid w:val="001F5A00"/>
    <w:rsid w:val="001F61B2"/>
    <w:rsid w:val="001F662C"/>
    <w:rsid w:val="001F7074"/>
    <w:rsid w:val="002000FA"/>
    <w:rsid w:val="00200490"/>
    <w:rsid w:val="00201F3A"/>
    <w:rsid w:val="00202D41"/>
    <w:rsid w:val="00203F96"/>
    <w:rsid w:val="00204B98"/>
    <w:rsid w:val="002050CD"/>
    <w:rsid w:val="002069B2"/>
    <w:rsid w:val="00207FA3"/>
    <w:rsid w:val="002103D0"/>
    <w:rsid w:val="00210DD5"/>
    <w:rsid w:val="002111A5"/>
    <w:rsid w:val="00212181"/>
    <w:rsid w:val="002121D1"/>
    <w:rsid w:val="00212C2F"/>
    <w:rsid w:val="00214DA8"/>
    <w:rsid w:val="00215423"/>
    <w:rsid w:val="00215708"/>
    <w:rsid w:val="002158FA"/>
    <w:rsid w:val="00220600"/>
    <w:rsid w:val="002224DB"/>
    <w:rsid w:val="00222859"/>
    <w:rsid w:val="0022381D"/>
    <w:rsid w:val="00223FCB"/>
    <w:rsid w:val="00224788"/>
    <w:rsid w:val="00224B7F"/>
    <w:rsid w:val="00224F76"/>
    <w:rsid w:val="00224FAD"/>
    <w:rsid w:val="002252C3"/>
    <w:rsid w:val="00225C54"/>
    <w:rsid w:val="00226DCC"/>
    <w:rsid w:val="0022706F"/>
    <w:rsid w:val="00227363"/>
    <w:rsid w:val="00227864"/>
    <w:rsid w:val="0023063D"/>
    <w:rsid w:val="00230765"/>
    <w:rsid w:val="002318DA"/>
    <w:rsid w:val="002319E4"/>
    <w:rsid w:val="00235632"/>
    <w:rsid w:val="00235872"/>
    <w:rsid w:val="0023594F"/>
    <w:rsid w:val="00237D99"/>
    <w:rsid w:val="00237EB6"/>
    <w:rsid w:val="00240CC2"/>
    <w:rsid w:val="00241559"/>
    <w:rsid w:val="00241CDF"/>
    <w:rsid w:val="00241E03"/>
    <w:rsid w:val="00242028"/>
    <w:rsid w:val="0024275B"/>
    <w:rsid w:val="002435B3"/>
    <w:rsid w:val="002458EB"/>
    <w:rsid w:val="00247C38"/>
    <w:rsid w:val="00247FC0"/>
    <w:rsid w:val="002500C8"/>
    <w:rsid w:val="0025048B"/>
    <w:rsid w:val="0025234C"/>
    <w:rsid w:val="002548C2"/>
    <w:rsid w:val="00255369"/>
    <w:rsid w:val="002562CC"/>
    <w:rsid w:val="00257543"/>
    <w:rsid w:val="002604EC"/>
    <w:rsid w:val="002617E7"/>
    <w:rsid w:val="00261FC8"/>
    <w:rsid w:val="002632EA"/>
    <w:rsid w:val="0026407E"/>
    <w:rsid w:val="00264228"/>
    <w:rsid w:val="00264334"/>
    <w:rsid w:val="0026473E"/>
    <w:rsid w:val="00264CBB"/>
    <w:rsid w:val="00265531"/>
    <w:rsid w:val="00266214"/>
    <w:rsid w:val="00266486"/>
    <w:rsid w:val="002675DA"/>
    <w:rsid w:val="00267C83"/>
    <w:rsid w:val="00267DA5"/>
    <w:rsid w:val="0027023D"/>
    <w:rsid w:val="00270C09"/>
    <w:rsid w:val="00270DF9"/>
    <w:rsid w:val="00271131"/>
    <w:rsid w:val="0027144F"/>
    <w:rsid w:val="00271F3A"/>
    <w:rsid w:val="002728F7"/>
    <w:rsid w:val="00273278"/>
    <w:rsid w:val="002737F4"/>
    <w:rsid w:val="00275D61"/>
    <w:rsid w:val="00275E6F"/>
    <w:rsid w:val="002766B9"/>
    <w:rsid w:val="002771CA"/>
    <w:rsid w:val="002805F5"/>
    <w:rsid w:val="00280751"/>
    <w:rsid w:val="002818AE"/>
    <w:rsid w:val="0028280A"/>
    <w:rsid w:val="002834F6"/>
    <w:rsid w:val="0028381E"/>
    <w:rsid w:val="0028539B"/>
    <w:rsid w:val="00285419"/>
    <w:rsid w:val="00285E0E"/>
    <w:rsid w:val="0028660A"/>
    <w:rsid w:val="00286ACD"/>
    <w:rsid w:val="00287838"/>
    <w:rsid w:val="00290395"/>
    <w:rsid w:val="002907B5"/>
    <w:rsid w:val="00290B96"/>
    <w:rsid w:val="00291CFD"/>
    <w:rsid w:val="002927A5"/>
    <w:rsid w:val="002928D7"/>
    <w:rsid w:val="00292EB7"/>
    <w:rsid w:val="00294A1C"/>
    <w:rsid w:val="00295776"/>
    <w:rsid w:val="00296098"/>
    <w:rsid w:val="00296227"/>
    <w:rsid w:val="002963D9"/>
    <w:rsid w:val="00296925"/>
    <w:rsid w:val="00296F44"/>
    <w:rsid w:val="0029777D"/>
    <w:rsid w:val="002A055E"/>
    <w:rsid w:val="002A0732"/>
    <w:rsid w:val="002A089D"/>
    <w:rsid w:val="002A1D4E"/>
    <w:rsid w:val="002A2869"/>
    <w:rsid w:val="002A3399"/>
    <w:rsid w:val="002A3581"/>
    <w:rsid w:val="002A71B4"/>
    <w:rsid w:val="002B0E95"/>
    <w:rsid w:val="002B178D"/>
    <w:rsid w:val="002B24D6"/>
    <w:rsid w:val="002B2633"/>
    <w:rsid w:val="002B382E"/>
    <w:rsid w:val="002B3CD0"/>
    <w:rsid w:val="002B47F5"/>
    <w:rsid w:val="002B54C0"/>
    <w:rsid w:val="002B5A25"/>
    <w:rsid w:val="002B7B02"/>
    <w:rsid w:val="002C06C5"/>
    <w:rsid w:val="002C0994"/>
    <w:rsid w:val="002C11A7"/>
    <w:rsid w:val="002C41E6"/>
    <w:rsid w:val="002C51E9"/>
    <w:rsid w:val="002C5319"/>
    <w:rsid w:val="002C6231"/>
    <w:rsid w:val="002C6631"/>
    <w:rsid w:val="002C760A"/>
    <w:rsid w:val="002C7C6B"/>
    <w:rsid w:val="002D071A"/>
    <w:rsid w:val="002D0735"/>
    <w:rsid w:val="002D2BB1"/>
    <w:rsid w:val="002D34B2"/>
    <w:rsid w:val="002D4706"/>
    <w:rsid w:val="002D601D"/>
    <w:rsid w:val="002D7637"/>
    <w:rsid w:val="002E1358"/>
    <w:rsid w:val="002E15D6"/>
    <w:rsid w:val="002E17F2"/>
    <w:rsid w:val="002E1C49"/>
    <w:rsid w:val="002E3CBD"/>
    <w:rsid w:val="002E5EEB"/>
    <w:rsid w:val="002E716F"/>
    <w:rsid w:val="002E7736"/>
    <w:rsid w:val="002E7CAE"/>
    <w:rsid w:val="002F0013"/>
    <w:rsid w:val="002F16BF"/>
    <w:rsid w:val="002F1833"/>
    <w:rsid w:val="002F1854"/>
    <w:rsid w:val="002F26CC"/>
    <w:rsid w:val="002F2771"/>
    <w:rsid w:val="002F2B42"/>
    <w:rsid w:val="002F37A9"/>
    <w:rsid w:val="002F3A38"/>
    <w:rsid w:val="002F450C"/>
    <w:rsid w:val="002F5277"/>
    <w:rsid w:val="002F702A"/>
    <w:rsid w:val="002F7B0A"/>
    <w:rsid w:val="002F7B2C"/>
    <w:rsid w:val="00301CE6"/>
    <w:rsid w:val="00302190"/>
    <w:rsid w:val="0030256B"/>
    <w:rsid w:val="0030501F"/>
    <w:rsid w:val="0030580F"/>
    <w:rsid w:val="00305A5F"/>
    <w:rsid w:val="003069E5"/>
    <w:rsid w:val="00306E7D"/>
    <w:rsid w:val="00307BA1"/>
    <w:rsid w:val="00307BA2"/>
    <w:rsid w:val="00307F4E"/>
    <w:rsid w:val="00310C2E"/>
    <w:rsid w:val="00311702"/>
    <w:rsid w:val="00311E82"/>
    <w:rsid w:val="00313FD6"/>
    <w:rsid w:val="003143BD"/>
    <w:rsid w:val="003152FA"/>
    <w:rsid w:val="0031689F"/>
    <w:rsid w:val="00317C7C"/>
    <w:rsid w:val="003203ED"/>
    <w:rsid w:val="00322C9F"/>
    <w:rsid w:val="00322E6A"/>
    <w:rsid w:val="003248D0"/>
    <w:rsid w:val="003248F5"/>
    <w:rsid w:val="00324D23"/>
    <w:rsid w:val="00324FBA"/>
    <w:rsid w:val="0032552A"/>
    <w:rsid w:val="00331751"/>
    <w:rsid w:val="003320E0"/>
    <w:rsid w:val="0033366F"/>
    <w:rsid w:val="00334579"/>
    <w:rsid w:val="00335205"/>
    <w:rsid w:val="00335858"/>
    <w:rsid w:val="00336BDA"/>
    <w:rsid w:val="00336D50"/>
    <w:rsid w:val="00340392"/>
    <w:rsid w:val="00340D67"/>
    <w:rsid w:val="003421B6"/>
    <w:rsid w:val="00342BD7"/>
    <w:rsid w:val="00343A07"/>
    <w:rsid w:val="00344908"/>
    <w:rsid w:val="00346DB5"/>
    <w:rsid w:val="00346DEA"/>
    <w:rsid w:val="003477B1"/>
    <w:rsid w:val="00347E07"/>
    <w:rsid w:val="00350837"/>
    <w:rsid w:val="00350B22"/>
    <w:rsid w:val="003519E0"/>
    <w:rsid w:val="00352521"/>
    <w:rsid w:val="00353EA1"/>
    <w:rsid w:val="0035445E"/>
    <w:rsid w:val="0035482C"/>
    <w:rsid w:val="00357380"/>
    <w:rsid w:val="003602D9"/>
    <w:rsid w:val="003604CE"/>
    <w:rsid w:val="003604D3"/>
    <w:rsid w:val="00360EF6"/>
    <w:rsid w:val="00360F70"/>
    <w:rsid w:val="00361217"/>
    <w:rsid w:val="003627DB"/>
    <w:rsid w:val="0036397F"/>
    <w:rsid w:val="0036484B"/>
    <w:rsid w:val="00366170"/>
    <w:rsid w:val="00366994"/>
    <w:rsid w:val="00367A87"/>
    <w:rsid w:val="0037081F"/>
    <w:rsid w:val="00370E47"/>
    <w:rsid w:val="00371F8F"/>
    <w:rsid w:val="00372782"/>
    <w:rsid w:val="00372B38"/>
    <w:rsid w:val="00372D13"/>
    <w:rsid w:val="00373532"/>
    <w:rsid w:val="00373BE0"/>
    <w:rsid w:val="003742AC"/>
    <w:rsid w:val="00374C68"/>
    <w:rsid w:val="00375033"/>
    <w:rsid w:val="00375B89"/>
    <w:rsid w:val="003770FA"/>
    <w:rsid w:val="00377CE1"/>
    <w:rsid w:val="003808EE"/>
    <w:rsid w:val="0038380E"/>
    <w:rsid w:val="00385BF0"/>
    <w:rsid w:val="003871CC"/>
    <w:rsid w:val="00387728"/>
    <w:rsid w:val="00387FC0"/>
    <w:rsid w:val="003918FE"/>
    <w:rsid w:val="003939FF"/>
    <w:rsid w:val="003944CB"/>
    <w:rsid w:val="00395D57"/>
    <w:rsid w:val="00397EDE"/>
    <w:rsid w:val="003A1163"/>
    <w:rsid w:val="003A13F1"/>
    <w:rsid w:val="003A2223"/>
    <w:rsid w:val="003A24A0"/>
    <w:rsid w:val="003A2A0F"/>
    <w:rsid w:val="003A4095"/>
    <w:rsid w:val="003A45A1"/>
    <w:rsid w:val="003A5B0A"/>
    <w:rsid w:val="003A6431"/>
    <w:rsid w:val="003A6BAC"/>
    <w:rsid w:val="003A6F1A"/>
    <w:rsid w:val="003A78C5"/>
    <w:rsid w:val="003A7EF3"/>
    <w:rsid w:val="003B159C"/>
    <w:rsid w:val="003B299D"/>
    <w:rsid w:val="003B369F"/>
    <w:rsid w:val="003B36A3"/>
    <w:rsid w:val="003B3EA3"/>
    <w:rsid w:val="003B7C76"/>
    <w:rsid w:val="003B7FE5"/>
    <w:rsid w:val="003C0B4C"/>
    <w:rsid w:val="003C11C8"/>
    <w:rsid w:val="003C1E5E"/>
    <w:rsid w:val="003C2702"/>
    <w:rsid w:val="003C52E6"/>
    <w:rsid w:val="003C6C5D"/>
    <w:rsid w:val="003C7223"/>
    <w:rsid w:val="003C7806"/>
    <w:rsid w:val="003D109F"/>
    <w:rsid w:val="003D1135"/>
    <w:rsid w:val="003D212D"/>
    <w:rsid w:val="003D2478"/>
    <w:rsid w:val="003D2FC4"/>
    <w:rsid w:val="003D396E"/>
    <w:rsid w:val="003D3C45"/>
    <w:rsid w:val="003D4F84"/>
    <w:rsid w:val="003D5B1F"/>
    <w:rsid w:val="003D67E8"/>
    <w:rsid w:val="003D71CF"/>
    <w:rsid w:val="003E075B"/>
    <w:rsid w:val="003E0ED2"/>
    <w:rsid w:val="003E15FA"/>
    <w:rsid w:val="003E3C88"/>
    <w:rsid w:val="003E4119"/>
    <w:rsid w:val="003E4DEB"/>
    <w:rsid w:val="003E55E4"/>
    <w:rsid w:val="003E57AD"/>
    <w:rsid w:val="003E6C23"/>
    <w:rsid w:val="003E74E3"/>
    <w:rsid w:val="003F05C7"/>
    <w:rsid w:val="003F0C04"/>
    <w:rsid w:val="003F2CD4"/>
    <w:rsid w:val="003F6BBE"/>
    <w:rsid w:val="004000E8"/>
    <w:rsid w:val="00402E2B"/>
    <w:rsid w:val="00403EC1"/>
    <w:rsid w:val="0040512B"/>
    <w:rsid w:val="00405CA5"/>
    <w:rsid w:val="0040665C"/>
    <w:rsid w:val="00407882"/>
    <w:rsid w:val="00407CD3"/>
    <w:rsid w:val="00410134"/>
    <w:rsid w:val="00410B72"/>
    <w:rsid w:val="00410F18"/>
    <w:rsid w:val="00412269"/>
    <w:rsid w:val="0041263E"/>
    <w:rsid w:val="004128FF"/>
    <w:rsid w:val="00413317"/>
    <w:rsid w:val="004133D5"/>
    <w:rsid w:val="00413AAC"/>
    <w:rsid w:val="00413BD8"/>
    <w:rsid w:val="00414A7E"/>
    <w:rsid w:val="00414E93"/>
    <w:rsid w:val="00415B3C"/>
    <w:rsid w:val="00420341"/>
    <w:rsid w:val="00421105"/>
    <w:rsid w:val="00421833"/>
    <w:rsid w:val="00422453"/>
    <w:rsid w:val="00423467"/>
    <w:rsid w:val="004242F4"/>
    <w:rsid w:val="0042475D"/>
    <w:rsid w:val="00425726"/>
    <w:rsid w:val="00426568"/>
    <w:rsid w:val="00426EA4"/>
    <w:rsid w:val="00427248"/>
    <w:rsid w:val="00427868"/>
    <w:rsid w:val="0043026C"/>
    <w:rsid w:val="00431A37"/>
    <w:rsid w:val="004320B0"/>
    <w:rsid w:val="00433CBF"/>
    <w:rsid w:val="00434D7B"/>
    <w:rsid w:val="00437447"/>
    <w:rsid w:val="00437507"/>
    <w:rsid w:val="00441A92"/>
    <w:rsid w:val="00441F13"/>
    <w:rsid w:val="00443A2F"/>
    <w:rsid w:val="00444F56"/>
    <w:rsid w:val="00446488"/>
    <w:rsid w:val="004474DA"/>
    <w:rsid w:val="0045068D"/>
    <w:rsid w:val="004517AA"/>
    <w:rsid w:val="00452605"/>
    <w:rsid w:val="00452A55"/>
    <w:rsid w:val="00452CAC"/>
    <w:rsid w:val="004530AF"/>
    <w:rsid w:val="004534F6"/>
    <w:rsid w:val="00453E88"/>
    <w:rsid w:val="004543BB"/>
    <w:rsid w:val="00456D11"/>
    <w:rsid w:val="00456D36"/>
    <w:rsid w:val="00457565"/>
    <w:rsid w:val="00457B71"/>
    <w:rsid w:val="004618B1"/>
    <w:rsid w:val="004624B2"/>
    <w:rsid w:val="00462DFC"/>
    <w:rsid w:val="00465F3A"/>
    <w:rsid w:val="004669E2"/>
    <w:rsid w:val="00466B8E"/>
    <w:rsid w:val="0046707B"/>
    <w:rsid w:val="00470C31"/>
    <w:rsid w:val="00470D03"/>
    <w:rsid w:val="00471ECF"/>
    <w:rsid w:val="004734D0"/>
    <w:rsid w:val="0047482A"/>
    <w:rsid w:val="00474F6C"/>
    <w:rsid w:val="0047556B"/>
    <w:rsid w:val="00475892"/>
    <w:rsid w:val="004763FF"/>
    <w:rsid w:val="00477768"/>
    <w:rsid w:val="00481187"/>
    <w:rsid w:val="00481773"/>
    <w:rsid w:val="0048469C"/>
    <w:rsid w:val="004852AE"/>
    <w:rsid w:val="00486614"/>
    <w:rsid w:val="0049062D"/>
    <w:rsid w:val="0049090A"/>
    <w:rsid w:val="004927D2"/>
    <w:rsid w:val="00492BC5"/>
    <w:rsid w:val="00493697"/>
    <w:rsid w:val="004944FB"/>
    <w:rsid w:val="00495BEC"/>
    <w:rsid w:val="004964F1"/>
    <w:rsid w:val="004A01A5"/>
    <w:rsid w:val="004A07FE"/>
    <w:rsid w:val="004A16BC"/>
    <w:rsid w:val="004A2901"/>
    <w:rsid w:val="004A2B94"/>
    <w:rsid w:val="004A3810"/>
    <w:rsid w:val="004A3D16"/>
    <w:rsid w:val="004A49EF"/>
    <w:rsid w:val="004A5DB4"/>
    <w:rsid w:val="004A67A9"/>
    <w:rsid w:val="004A73FE"/>
    <w:rsid w:val="004A7A58"/>
    <w:rsid w:val="004B1AD1"/>
    <w:rsid w:val="004B2138"/>
    <w:rsid w:val="004B357E"/>
    <w:rsid w:val="004B5D48"/>
    <w:rsid w:val="004B6410"/>
    <w:rsid w:val="004B6BB9"/>
    <w:rsid w:val="004B766F"/>
    <w:rsid w:val="004B7C0C"/>
    <w:rsid w:val="004B7F35"/>
    <w:rsid w:val="004C01E2"/>
    <w:rsid w:val="004C33F3"/>
    <w:rsid w:val="004C3898"/>
    <w:rsid w:val="004D0F8A"/>
    <w:rsid w:val="004D2E40"/>
    <w:rsid w:val="004D36B1"/>
    <w:rsid w:val="004D4EEA"/>
    <w:rsid w:val="004D670A"/>
    <w:rsid w:val="004D6991"/>
    <w:rsid w:val="004D7CCE"/>
    <w:rsid w:val="004D7EBD"/>
    <w:rsid w:val="004E12C9"/>
    <w:rsid w:val="004E1C15"/>
    <w:rsid w:val="004E2680"/>
    <w:rsid w:val="004E28F9"/>
    <w:rsid w:val="004E462E"/>
    <w:rsid w:val="004E56DC"/>
    <w:rsid w:val="004E572E"/>
    <w:rsid w:val="004E6009"/>
    <w:rsid w:val="004E62BF"/>
    <w:rsid w:val="004E76F4"/>
    <w:rsid w:val="004F059A"/>
    <w:rsid w:val="004F0B4E"/>
    <w:rsid w:val="004F0B6C"/>
    <w:rsid w:val="004F0E59"/>
    <w:rsid w:val="004F2078"/>
    <w:rsid w:val="004F2C09"/>
    <w:rsid w:val="004F3A07"/>
    <w:rsid w:val="004F4DA3"/>
    <w:rsid w:val="004F5628"/>
    <w:rsid w:val="004F7356"/>
    <w:rsid w:val="004F73D9"/>
    <w:rsid w:val="004F7A38"/>
    <w:rsid w:val="00504181"/>
    <w:rsid w:val="005043F8"/>
    <w:rsid w:val="00505D37"/>
    <w:rsid w:val="00506557"/>
    <w:rsid w:val="0050677A"/>
    <w:rsid w:val="005070DE"/>
    <w:rsid w:val="005108D8"/>
    <w:rsid w:val="005116F9"/>
    <w:rsid w:val="00511E6F"/>
    <w:rsid w:val="005137F0"/>
    <w:rsid w:val="005153A7"/>
    <w:rsid w:val="005161FA"/>
    <w:rsid w:val="00517F79"/>
    <w:rsid w:val="005219CF"/>
    <w:rsid w:val="005222F2"/>
    <w:rsid w:val="00522BFB"/>
    <w:rsid w:val="00524BE4"/>
    <w:rsid w:val="00525549"/>
    <w:rsid w:val="005257B7"/>
    <w:rsid w:val="005269A3"/>
    <w:rsid w:val="005313B4"/>
    <w:rsid w:val="00531AC7"/>
    <w:rsid w:val="00532B98"/>
    <w:rsid w:val="00533622"/>
    <w:rsid w:val="00533E74"/>
    <w:rsid w:val="00534B59"/>
    <w:rsid w:val="005364E3"/>
    <w:rsid w:val="00536759"/>
    <w:rsid w:val="00537ADB"/>
    <w:rsid w:val="00537C62"/>
    <w:rsid w:val="00543420"/>
    <w:rsid w:val="00543E36"/>
    <w:rsid w:val="00545DCE"/>
    <w:rsid w:val="00545F16"/>
    <w:rsid w:val="00546970"/>
    <w:rsid w:val="00551512"/>
    <w:rsid w:val="00553DDF"/>
    <w:rsid w:val="00554978"/>
    <w:rsid w:val="00554E19"/>
    <w:rsid w:val="005561E8"/>
    <w:rsid w:val="0055620A"/>
    <w:rsid w:val="00557A53"/>
    <w:rsid w:val="00560901"/>
    <w:rsid w:val="00560A38"/>
    <w:rsid w:val="005611B3"/>
    <w:rsid w:val="0056121F"/>
    <w:rsid w:val="00561CD5"/>
    <w:rsid w:val="00562FB5"/>
    <w:rsid w:val="00563378"/>
    <w:rsid w:val="0056355A"/>
    <w:rsid w:val="00563A30"/>
    <w:rsid w:val="00564463"/>
    <w:rsid w:val="00564922"/>
    <w:rsid w:val="00565C59"/>
    <w:rsid w:val="00565F8B"/>
    <w:rsid w:val="0057163C"/>
    <w:rsid w:val="00572505"/>
    <w:rsid w:val="00572748"/>
    <w:rsid w:val="005739D3"/>
    <w:rsid w:val="00574825"/>
    <w:rsid w:val="005754AF"/>
    <w:rsid w:val="005756B5"/>
    <w:rsid w:val="00575849"/>
    <w:rsid w:val="00575A29"/>
    <w:rsid w:val="00576599"/>
    <w:rsid w:val="005803A8"/>
    <w:rsid w:val="00580706"/>
    <w:rsid w:val="00580A36"/>
    <w:rsid w:val="0058130C"/>
    <w:rsid w:val="0058151C"/>
    <w:rsid w:val="00581BBF"/>
    <w:rsid w:val="00582809"/>
    <w:rsid w:val="00583CC4"/>
    <w:rsid w:val="00586308"/>
    <w:rsid w:val="00586B0A"/>
    <w:rsid w:val="00586C5B"/>
    <w:rsid w:val="005872B4"/>
    <w:rsid w:val="0058798C"/>
    <w:rsid w:val="005900FA"/>
    <w:rsid w:val="00590966"/>
    <w:rsid w:val="00592219"/>
    <w:rsid w:val="00592BA2"/>
    <w:rsid w:val="005935A4"/>
    <w:rsid w:val="005948C2"/>
    <w:rsid w:val="00595DCA"/>
    <w:rsid w:val="0059779B"/>
    <w:rsid w:val="005A0754"/>
    <w:rsid w:val="005A0A90"/>
    <w:rsid w:val="005A11A0"/>
    <w:rsid w:val="005A154E"/>
    <w:rsid w:val="005A209A"/>
    <w:rsid w:val="005A38B4"/>
    <w:rsid w:val="005A5B97"/>
    <w:rsid w:val="005A5FF1"/>
    <w:rsid w:val="005A662D"/>
    <w:rsid w:val="005B0502"/>
    <w:rsid w:val="005B0619"/>
    <w:rsid w:val="005B0948"/>
    <w:rsid w:val="005B1B46"/>
    <w:rsid w:val="005B35D7"/>
    <w:rsid w:val="005B3844"/>
    <w:rsid w:val="005B392A"/>
    <w:rsid w:val="005B3AA3"/>
    <w:rsid w:val="005B3DBD"/>
    <w:rsid w:val="005B4EED"/>
    <w:rsid w:val="005B4F0C"/>
    <w:rsid w:val="005B648D"/>
    <w:rsid w:val="005B6DEE"/>
    <w:rsid w:val="005B6F83"/>
    <w:rsid w:val="005C3D92"/>
    <w:rsid w:val="005C4803"/>
    <w:rsid w:val="005C5652"/>
    <w:rsid w:val="005C5A52"/>
    <w:rsid w:val="005C74FB"/>
    <w:rsid w:val="005D01EA"/>
    <w:rsid w:val="005D0A8A"/>
    <w:rsid w:val="005D1602"/>
    <w:rsid w:val="005D2288"/>
    <w:rsid w:val="005D6A66"/>
    <w:rsid w:val="005E36DB"/>
    <w:rsid w:val="005E385F"/>
    <w:rsid w:val="005E43F4"/>
    <w:rsid w:val="005E5647"/>
    <w:rsid w:val="005E5B81"/>
    <w:rsid w:val="005F04FA"/>
    <w:rsid w:val="005F0A1C"/>
    <w:rsid w:val="005F1E45"/>
    <w:rsid w:val="005F2CB1"/>
    <w:rsid w:val="005F3025"/>
    <w:rsid w:val="005F55DC"/>
    <w:rsid w:val="005F587D"/>
    <w:rsid w:val="005F618C"/>
    <w:rsid w:val="005F6F31"/>
    <w:rsid w:val="005F70BD"/>
    <w:rsid w:val="0060283C"/>
    <w:rsid w:val="00604F14"/>
    <w:rsid w:val="0060542E"/>
    <w:rsid w:val="00607A0A"/>
    <w:rsid w:val="00607F8A"/>
    <w:rsid w:val="00610751"/>
    <w:rsid w:val="00611B83"/>
    <w:rsid w:val="00613257"/>
    <w:rsid w:val="00616832"/>
    <w:rsid w:val="00616D90"/>
    <w:rsid w:val="00620A71"/>
    <w:rsid w:val="00620AD3"/>
    <w:rsid w:val="00620D80"/>
    <w:rsid w:val="00621469"/>
    <w:rsid w:val="00622786"/>
    <w:rsid w:val="006234A6"/>
    <w:rsid w:val="00624461"/>
    <w:rsid w:val="006248C0"/>
    <w:rsid w:val="00624BE0"/>
    <w:rsid w:val="00624D23"/>
    <w:rsid w:val="00625D08"/>
    <w:rsid w:val="00630001"/>
    <w:rsid w:val="006311B3"/>
    <w:rsid w:val="0063276E"/>
    <w:rsid w:val="0063284C"/>
    <w:rsid w:val="00632A07"/>
    <w:rsid w:val="00633B7A"/>
    <w:rsid w:val="00634895"/>
    <w:rsid w:val="00635365"/>
    <w:rsid w:val="00636398"/>
    <w:rsid w:val="006368D3"/>
    <w:rsid w:val="006377EC"/>
    <w:rsid w:val="006378B2"/>
    <w:rsid w:val="00640CE9"/>
    <w:rsid w:val="0064151F"/>
    <w:rsid w:val="00641533"/>
    <w:rsid w:val="006415C1"/>
    <w:rsid w:val="0064208D"/>
    <w:rsid w:val="00643475"/>
    <w:rsid w:val="00643571"/>
    <w:rsid w:val="0064396A"/>
    <w:rsid w:val="00644C30"/>
    <w:rsid w:val="0064624E"/>
    <w:rsid w:val="00646C5D"/>
    <w:rsid w:val="00650AB9"/>
    <w:rsid w:val="00651F50"/>
    <w:rsid w:val="00651F5E"/>
    <w:rsid w:val="00652933"/>
    <w:rsid w:val="0065469C"/>
    <w:rsid w:val="00654B22"/>
    <w:rsid w:val="0065535A"/>
    <w:rsid w:val="00655733"/>
    <w:rsid w:val="00655ACD"/>
    <w:rsid w:val="00656A92"/>
    <w:rsid w:val="00656DDE"/>
    <w:rsid w:val="00657864"/>
    <w:rsid w:val="0066011D"/>
    <w:rsid w:val="006607C0"/>
    <w:rsid w:val="006613A6"/>
    <w:rsid w:val="006627A2"/>
    <w:rsid w:val="006634E6"/>
    <w:rsid w:val="006655EE"/>
    <w:rsid w:val="00667EE7"/>
    <w:rsid w:val="00670922"/>
    <w:rsid w:val="00670A3D"/>
    <w:rsid w:val="00670BE1"/>
    <w:rsid w:val="0067218F"/>
    <w:rsid w:val="00673033"/>
    <w:rsid w:val="006741F2"/>
    <w:rsid w:val="00674CC3"/>
    <w:rsid w:val="00675603"/>
    <w:rsid w:val="00675C72"/>
    <w:rsid w:val="006771F9"/>
    <w:rsid w:val="006776D7"/>
    <w:rsid w:val="00677985"/>
    <w:rsid w:val="00681003"/>
    <w:rsid w:val="006817C9"/>
    <w:rsid w:val="00683ECE"/>
    <w:rsid w:val="00685D97"/>
    <w:rsid w:val="0068665D"/>
    <w:rsid w:val="00686697"/>
    <w:rsid w:val="00686976"/>
    <w:rsid w:val="0069070C"/>
    <w:rsid w:val="006909F1"/>
    <w:rsid w:val="00690DB5"/>
    <w:rsid w:val="006911C1"/>
    <w:rsid w:val="00693B03"/>
    <w:rsid w:val="00695FC2"/>
    <w:rsid w:val="00696800"/>
    <w:rsid w:val="00696949"/>
    <w:rsid w:val="00697052"/>
    <w:rsid w:val="006A3AE8"/>
    <w:rsid w:val="006A4155"/>
    <w:rsid w:val="006A41ED"/>
    <w:rsid w:val="006A46FB"/>
    <w:rsid w:val="006A5E28"/>
    <w:rsid w:val="006A697B"/>
    <w:rsid w:val="006A7AFF"/>
    <w:rsid w:val="006B138E"/>
    <w:rsid w:val="006B1816"/>
    <w:rsid w:val="006B2099"/>
    <w:rsid w:val="006B50CF"/>
    <w:rsid w:val="006B5618"/>
    <w:rsid w:val="006C03B8"/>
    <w:rsid w:val="006C17A8"/>
    <w:rsid w:val="006C3C6D"/>
    <w:rsid w:val="006C5503"/>
    <w:rsid w:val="006C5EC9"/>
    <w:rsid w:val="006C6059"/>
    <w:rsid w:val="006C6F36"/>
    <w:rsid w:val="006C7522"/>
    <w:rsid w:val="006D121A"/>
    <w:rsid w:val="006D1D2A"/>
    <w:rsid w:val="006D3D2C"/>
    <w:rsid w:val="006D3EE5"/>
    <w:rsid w:val="006D6F08"/>
    <w:rsid w:val="006D7069"/>
    <w:rsid w:val="006E062C"/>
    <w:rsid w:val="006E28B7"/>
    <w:rsid w:val="006E3310"/>
    <w:rsid w:val="006E3AA4"/>
    <w:rsid w:val="006E4E39"/>
    <w:rsid w:val="006E565E"/>
    <w:rsid w:val="006E6039"/>
    <w:rsid w:val="006E673D"/>
    <w:rsid w:val="006E7402"/>
    <w:rsid w:val="006E77AE"/>
    <w:rsid w:val="006E7D3B"/>
    <w:rsid w:val="006F06BB"/>
    <w:rsid w:val="006F1634"/>
    <w:rsid w:val="006F1B70"/>
    <w:rsid w:val="006F341D"/>
    <w:rsid w:val="006F3CDE"/>
    <w:rsid w:val="006F58D4"/>
    <w:rsid w:val="006F6A4C"/>
    <w:rsid w:val="00701AAC"/>
    <w:rsid w:val="007032D6"/>
    <w:rsid w:val="0070346E"/>
    <w:rsid w:val="00703686"/>
    <w:rsid w:val="007037E4"/>
    <w:rsid w:val="0070386E"/>
    <w:rsid w:val="007043FB"/>
    <w:rsid w:val="00704EDB"/>
    <w:rsid w:val="0070511A"/>
    <w:rsid w:val="0070537F"/>
    <w:rsid w:val="00706101"/>
    <w:rsid w:val="00707072"/>
    <w:rsid w:val="007076D8"/>
    <w:rsid w:val="00707D61"/>
    <w:rsid w:val="00712287"/>
    <w:rsid w:val="00712772"/>
    <w:rsid w:val="007148D3"/>
    <w:rsid w:val="00714D56"/>
    <w:rsid w:val="007150E8"/>
    <w:rsid w:val="00715765"/>
    <w:rsid w:val="00715B9A"/>
    <w:rsid w:val="00715FB2"/>
    <w:rsid w:val="00720BB4"/>
    <w:rsid w:val="00720EB9"/>
    <w:rsid w:val="00721475"/>
    <w:rsid w:val="00721593"/>
    <w:rsid w:val="00723E7A"/>
    <w:rsid w:val="00723FB5"/>
    <w:rsid w:val="00724908"/>
    <w:rsid w:val="00726AB4"/>
    <w:rsid w:val="00726EA6"/>
    <w:rsid w:val="00727208"/>
    <w:rsid w:val="007274AD"/>
    <w:rsid w:val="00727680"/>
    <w:rsid w:val="00727A39"/>
    <w:rsid w:val="00727F66"/>
    <w:rsid w:val="00731447"/>
    <w:rsid w:val="00731732"/>
    <w:rsid w:val="00731839"/>
    <w:rsid w:val="00731BAB"/>
    <w:rsid w:val="00732B14"/>
    <w:rsid w:val="0073322E"/>
    <w:rsid w:val="00733B2B"/>
    <w:rsid w:val="00734168"/>
    <w:rsid w:val="007348B1"/>
    <w:rsid w:val="00734B23"/>
    <w:rsid w:val="00735DFF"/>
    <w:rsid w:val="007362A6"/>
    <w:rsid w:val="0073690D"/>
    <w:rsid w:val="00736B85"/>
    <w:rsid w:val="00736D7D"/>
    <w:rsid w:val="0074070A"/>
    <w:rsid w:val="00740E58"/>
    <w:rsid w:val="00742EBB"/>
    <w:rsid w:val="007445A0"/>
    <w:rsid w:val="0074524B"/>
    <w:rsid w:val="00747D8B"/>
    <w:rsid w:val="00750116"/>
    <w:rsid w:val="007510AF"/>
    <w:rsid w:val="00751228"/>
    <w:rsid w:val="00752EB7"/>
    <w:rsid w:val="00753A1A"/>
    <w:rsid w:val="00754233"/>
    <w:rsid w:val="0075470A"/>
    <w:rsid w:val="00756248"/>
    <w:rsid w:val="007571E1"/>
    <w:rsid w:val="0075787C"/>
    <w:rsid w:val="007604B2"/>
    <w:rsid w:val="007622DB"/>
    <w:rsid w:val="00763EC7"/>
    <w:rsid w:val="00765281"/>
    <w:rsid w:val="007654E6"/>
    <w:rsid w:val="0076559B"/>
    <w:rsid w:val="00765CAE"/>
    <w:rsid w:val="007667EA"/>
    <w:rsid w:val="00766BAD"/>
    <w:rsid w:val="00767A76"/>
    <w:rsid w:val="00770F15"/>
    <w:rsid w:val="00770F77"/>
    <w:rsid w:val="007714D4"/>
    <w:rsid w:val="00771F74"/>
    <w:rsid w:val="00772779"/>
    <w:rsid w:val="007730BD"/>
    <w:rsid w:val="0077378A"/>
    <w:rsid w:val="007755F2"/>
    <w:rsid w:val="0077624A"/>
    <w:rsid w:val="00776971"/>
    <w:rsid w:val="00777F69"/>
    <w:rsid w:val="0078177E"/>
    <w:rsid w:val="00781D85"/>
    <w:rsid w:val="00782BD0"/>
    <w:rsid w:val="0078304C"/>
    <w:rsid w:val="0078338F"/>
    <w:rsid w:val="00783673"/>
    <w:rsid w:val="00784B6E"/>
    <w:rsid w:val="0078540C"/>
    <w:rsid w:val="00785490"/>
    <w:rsid w:val="00786636"/>
    <w:rsid w:val="0078740D"/>
    <w:rsid w:val="00787F86"/>
    <w:rsid w:val="007901B4"/>
    <w:rsid w:val="007925EA"/>
    <w:rsid w:val="00792638"/>
    <w:rsid w:val="00793CD8"/>
    <w:rsid w:val="00795C92"/>
    <w:rsid w:val="00796231"/>
    <w:rsid w:val="00796892"/>
    <w:rsid w:val="00797ACB"/>
    <w:rsid w:val="007A0A8F"/>
    <w:rsid w:val="007A0F6A"/>
    <w:rsid w:val="007A1821"/>
    <w:rsid w:val="007A1CB3"/>
    <w:rsid w:val="007A1E44"/>
    <w:rsid w:val="007A1FE0"/>
    <w:rsid w:val="007A306F"/>
    <w:rsid w:val="007A388C"/>
    <w:rsid w:val="007A43A6"/>
    <w:rsid w:val="007A491E"/>
    <w:rsid w:val="007A58A6"/>
    <w:rsid w:val="007A68B6"/>
    <w:rsid w:val="007A6E6D"/>
    <w:rsid w:val="007A75D9"/>
    <w:rsid w:val="007A7E25"/>
    <w:rsid w:val="007B315E"/>
    <w:rsid w:val="007B3D2D"/>
    <w:rsid w:val="007B50AE"/>
    <w:rsid w:val="007B51DF"/>
    <w:rsid w:val="007B5224"/>
    <w:rsid w:val="007C00D7"/>
    <w:rsid w:val="007C05DD"/>
    <w:rsid w:val="007C0CC1"/>
    <w:rsid w:val="007C1E10"/>
    <w:rsid w:val="007C25B7"/>
    <w:rsid w:val="007C274C"/>
    <w:rsid w:val="007C3D18"/>
    <w:rsid w:val="007C4468"/>
    <w:rsid w:val="007C60BF"/>
    <w:rsid w:val="007C67DF"/>
    <w:rsid w:val="007C6A07"/>
    <w:rsid w:val="007C75A1"/>
    <w:rsid w:val="007C77A5"/>
    <w:rsid w:val="007C7F8D"/>
    <w:rsid w:val="007D0422"/>
    <w:rsid w:val="007D04E5"/>
    <w:rsid w:val="007D46D5"/>
    <w:rsid w:val="007D5901"/>
    <w:rsid w:val="007D61B7"/>
    <w:rsid w:val="007D67DE"/>
    <w:rsid w:val="007D7526"/>
    <w:rsid w:val="007D7B6D"/>
    <w:rsid w:val="007E037D"/>
    <w:rsid w:val="007E4610"/>
    <w:rsid w:val="007E4715"/>
    <w:rsid w:val="007E505B"/>
    <w:rsid w:val="007E7091"/>
    <w:rsid w:val="007E7BF0"/>
    <w:rsid w:val="007F0D3B"/>
    <w:rsid w:val="007F0D53"/>
    <w:rsid w:val="007F0F67"/>
    <w:rsid w:val="007F5674"/>
    <w:rsid w:val="007F56DB"/>
    <w:rsid w:val="007F5B02"/>
    <w:rsid w:val="007F6FE9"/>
    <w:rsid w:val="00802F8A"/>
    <w:rsid w:val="00803FAE"/>
    <w:rsid w:val="00804929"/>
    <w:rsid w:val="00804966"/>
    <w:rsid w:val="008051A7"/>
    <w:rsid w:val="00805924"/>
    <w:rsid w:val="0080605F"/>
    <w:rsid w:val="00807786"/>
    <w:rsid w:val="00811FCB"/>
    <w:rsid w:val="008124D7"/>
    <w:rsid w:val="008158D6"/>
    <w:rsid w:val="00817196"/>
    <w:rsid w:val="0082045F"/>
    <w:rsid w:val="00821855"/>
    <w:rsid w:val="00821AB7"/>
    <w:rsid w:val="00821CCB"/>
    <w:rsid w:val="008235DB"/>
    <w:rsid w:val="00824523"/>
    <w:rsid w:val="00824718"/>
    <w:rsid w:val="00824AB4"/>
    <w:rsid w:val="00825C42"/>
    <w:rsid w:val="00825D25"/>
    <w:rsid w:val="008263DE"/>
    <w:rsid w:val="00826447"/>
    <w:rsid w:val="00827D6F"/>
    <w:rsid w:val="0083060B"/>
    <w:rsid w:val="00833194"/>
    <w:rsid w:val="008354DB"/>
    <w:rsid w:val="008376AC"/>
    <w:rsid w:val="0084118A"/>
    <w:rsid w:val="00843D66"/>
    <w:rsid w:val="008444E8"/>
    <w:rsid w:val="00844A79"/>
    <w:rsid w:val="00844E64"/>
    <w:rsid w:val="00844E80"/>
    <w:rsid w:val="008453FE"/>
    <w:rsid w:val="008462D1"/>
    <w:rsid w:val="00846FE7"/>
    <w:rsid w:val="008479D9"/>
    <w:rsid w:val="008506A7"/>
    <w:rsid w:val="00850CEC"/>
    <w:rsid w:val="00851A28"/>
    <w:rsid w:val="00851DB7"/>
    <w:rsid w:val="00852F7E"/>
    <w:rsid w:val="00853FBA"/>
    <w:rsid w:val="008556BB"/>
    <w:rsid w:val="0085613D"/>
    <w:rsid w:val="00856911"/>
    <w:rsid w:val="00856B49"/>
    <w:rsid w:val="00856B4C"/>
    <w:rsid w:val="00856D40"/>
    <w:rsid w:val="00857DC3"/>
    <w:rsid w:val="0086115D"/>
    <w:rsid w:val="008631F5"/>
    <w:rsid w:val="008654F0"/>
    <w:rsid w:val="00865D54"/>
    <w:rsid w:val="0086706B"/>
    <w:rsid w:val="00867450"/>
    <w:rsid w:val="008677FD"/>
    <w:rsid w:val="008706D4"/>
    <w:rsid w:val="0087079E"/>
    <w:rsid w:val="00870F8A"/>
    <w:rsid w:val="00871600"/>
    <w:rsid w:val="008719A4"/>
    <w:rsid w:val="00871D23"/>
    <w:rsid w:val="00872530"/>
    <w:rsid w:val="00872B50"/>
    <w:rsid w:val="00872B8D"/>
    <w:rsid w:val="00874312"/>
    <w:rsid w:val="0087437C"/>
    <w:rsid w:val="0087438A"/>
    <w:rsid w:val="00875CD7"/>
    <w:rsid w:val="008763E4"/>
    <w:rsid w:val="00876479"/>
    <w:rsid w:val="00876B4D"/>
    <w:rsid w:val="00877647"/>
    <w:rsid w:val="00877AD8"/>
    <w:rsid w:val="00877F18"/>
    <w:rsid w:val="00880C57"/>
    <w:rsid w:val="00881DA8"/>
    <w:rsid w:val="00882D6A"/>
    <w:rsid w:val="0088352D"/>
    <w:rsid w:val="0088405D"/>
    <w:rsid w:val="00885A05"/>
    <w:rsid w:val="00885B54"/>
    <w:rsid w:val="0088671F"/>
    <w:rsid w:val="0089004D"/>
    <w:rsid w:val="008903E4"/>
    <w:rsid w:val="00892C00"/>
    <w:rsid w:val="00893358"/>
    <w:rsid w:val="00894A88"/>
    <w:rsid w:val="00895386"/>
    <w:rsid w:val="00895BEC"/>
    <w:rsid w:val="00895BF0"/>
    <w:rsid w:val="00896C1C"/>
    <w:rsid w:val="00896F6B"/>
    <w:rsid w:val="008A0EB2"/>
    <w:rsid w:val="008A10AD"/>
    <w:rsid w:val="008A21FF"/>
    <w:rsid w:val="008A2775"/>
    <w:rsid w:val="008A2CE2"/>
    <w:rsid w:val="008A30AC"/>
    <w:rsid w:val="008A335E"/>
    <w:rsid w:val="008A4342"/>
    <w:rsid w:val="008A44B8"/>
    <w:rsid w:val="008A4BD4"/>
    <w:rsid w:val="008A51A8"/>
    <w:rsid w:val="008A54C7"/>
    <w:rsid w:val="008A657D"/>
    <w:rsid w:val="008A77D8"/>
    <w:rsid w:val="008A7AED"/>
    <w:rsid w:val="008B0483"/>
    <w:rsid w:val="008B0B15"/>
    <w:rsid w:val="008B120C"/>
    <w:rsid w:val="008B3E6A"/>
    <w:rsid w:val="008B51A0"/>
    <w:rsid w:val="008B592A"/>
    <w:rsid w:val="008B6E34"/>
    <w:rsid w:val="008B7514"/>
    <w:rsid w:val="008B77F0"/>
    <w:rsid w:val="008B78A6"/>
    <w:rsid w:val="008B794A"/>
    <w:rsid w:val="008B7B5C"/>
    <w:rsid w:val="008C03A2"/>
    <w:rsid w:val="008C0C99"/>
    <w:rsid w:val="008C1321"/>
    <w:rsid w:val="008C1729"/>
    <w:rsid w:val="008C2017"/>
    <w:rsid w:val="008C361D"/>
    <w:rsid w:val="008C43A4"/>
    <w:rsid w:val="008C4958"/>
    <w:rsid w:val="008C4BAA"/>
    <w:rsid w:val="008C6AE8"/>
    <w:rsid w:val="008C731E"/>
    <w:rsid w:val="008C7573"/>
    <w:rsid w:val="008C77EA"/>
    <w:rsid w:val="008D089A"/>
    <w:rsid w:val="008D0AE1"/>
    <w:rsid w:val="008D0BEA"/>
    <w:rsid w:val="008D1907"/>
    <w:rsid w:val="008D34F1"/>
    <w:rsid w:val="008D39D8"/>
    <w:rsid w:val="008D57A1"/>
    <w:rsid w:val="008D5ED9"/>
    <w:rsid w:val="008D6415"/>
    <w:rsid w:val="008D6D1A"/>
    <w:rsid w:val="008E065E"/>
    <w:rsid w:val="008E0927"/>
    <w:rsid w:val="008E1909"/>
    <w:rsid w:val="008E1A1E"/>
    <w:rsid w:val="008E2112"/>
    <w:rsid w:val="008E24C8"/>
    <w:rsid w:val="008E3668"/>
    <w:rsid w:val="008E3D43"/>
    <w:rsid w:val="008F0834"/>
    <w:rsid w:val="008F0D74"/>
    <w:rsid w:val="008F1EAB"/>
    <w:rsid w:val="008F20B4"/>
    <w:rsid w:val="008F323B"/>
    <w:rsid w:val="008F33DC"/>
    <w:rsid w:val="008F3F78"/>
    <w:rsid w:val="008F477F"/>
    <w:rsid w:val="008F598B"/>
    <w:rsid w:val="008F6115"/>
    <w:rsid w:val="008F7509"/>
    <w:rsid w:val="00902350"/>
    <w:rsid w:val="00902433"/>
    <w:rsid w:val="0090336B"/>
    <w:rsid w:val="009034F0"/>
    <w:rsid w:val="00903B04"/>
    <w:rsid w:val="00904FB0"/>
    <w:rsid w:val="009053AA"/>
    <w:rsid w:val="00905519"/>
    <w:rsid w:val="00905C61"/>
    <w:rsid w:val="00906939"/>
    <w:rsid w:val="00910B7D"/>
    <w:rsid w:val="00911DFB"/>
    <w:rsid w:val="009139D9"/>
    <w:rsid w:val="00913EB4"/>
    <w:rsid w:val="00914AD8"/>
    <w:rsid w:val="00914D76"/>
    <w:rsid w:val="00915593"/>
    <w:rsid w:val="00916079"/>
    <w:rsid w:val="00917CE9"/>
    <w:rsid w:val="00920734"/>
    <w:rsid w:val="00920BF2"/>
    <w:rsid w:val="0092192F"/>
    <w:rsid w:val="00921DDC"/>
    <w:rsid w:val="00922010"/>
    <w:rsid w:val="00924C82"/>
    <w:rsid w:val="0092554D"/>
    <w:rsid w:val="009259E4"/>
    <w:rsid w:val="00925ED0"/>
    <w:rsid w:val="009263BF"/>
    <w:rsid w:val="00931BD9"/>
    <w:rsid w:val="00934670"/>
    <w:rsid w:val="00935451"/>
    <w:rsid w:val="00935493"/>
    <w:rsid w:val="009368F3"/>
    <w:rsid w:val="009414F9"/>
    <w:rsid w:val="00941636"/>
    <w:rsid w:val="00943742"/>
    <w:rsid w:val="0094532E"/>
    <w:rsid w:val="00945C05"/>
    <w:rsid w:val="00946945"/>
    <w:rsid w:val="00946F66"/>
    <w:rsid w:val="009474AE"/>
    <w:rsid w:val="00947713"/>
    <w:rsid w:val="00950DE7"/>
    <w:rsid w:val="00951500"/>
    <w:rsid w:val="00951558"/>
    <w:rsid w:val="00951922"/>
    <w:rsid w:val="00951F64"/>
    <w:rsid w:val="009523F6"/>
    <w:rsid w:val="00952627"/>
    <w:rsid w:val="00953920"/>
    <w:rsid w:val="00953B21"/>
    <w:rsid w:val="00953D47"/>
    <w:rsid w:val="0095681E"/>
    <w:rsid w:val="009572D4"/>
    <w:rsid w:val="00961921"/>
    <w:rsid w:val="009638BA"/>
    <w:rsid w:val="0096430A"/>
    <w:rsid w:val="009644C3"/>
    <w:rsid w:val="009651D1"/>
    <w:rsid w:val="0096554B"/>
    <w:rsid w:val="0096584A"/>
    <w:rsid w:val="009677E7"/>
    <w:rsid w:val="00967B18"/>
    <w:rsid w:val="00971F08"/>
    <w:rsid w:val="009742F2"/>
    <w:rsid w:val="0097603D"/>
    <w:rsid w:val="00976949"/>
    <w:rsid w:val="00980477"/>
    <w:rsid w:val="00981804"/>
    <w:rsid w:val="00985253"/>
    <w:rsid w:val="009853B3"/>
    <w:rsid w:val="009855D7"/>
    <w:rsid w:val="009900AB"/>
    <w:rsid w:val="00990630"/>
    <w:rsid w:val="00991761"/>
    <w:rsid w:val="00991AED"/>
    <w:rsid w:val="00991CD9"/>
    <w:rsid w:val="00991CFB"/>
    <w:rsid w:val="00991D53"/>
    <w:rsid w:val="009932C8"/>
    <w:rsid w:val="00993AC1"/>
    <w:rsid w:val="00993C7B"/>
    <w:rsid w:val="00993E53"/>
    <w:rsid w:val="00993F71"/>
    <w:rsid w:val="00994DCA"/>
    <w:rsid w:val="00994E9F"/>
    <w:rsid w:val="009960EC"/>
    <w:rsid w:val="009961BD"/>
    <w:rsid w:val="009970DD"/>
    <w:rsid w:val="009A0C48"/>
    <w:rsid w:val="009A0FBA"/>
    <w:rsid w:val="009A1601"/>
    <w:rsid w:val="009A1694"/>
    <w:rsid w:val="009A16E7"/>
    <w:rsid w:val="009A3AB3"/>
    <w:rsid w:val="009A3EF5"/>
    <w:rsid w:val="009A462D"/>
    <w:rsid w:val="009A5CBA"/>
    <w:rsid w:val="009A656C"/>
    <w:rsid w:val="009B1F30"/>
    <w:rsid w:val="009B3AC2"/>
    <w:rsid w:val="009B4DF4"/>
    <w:rsid w:val="009B4FFF"/>
    <w:rsid w:val="009B564E"/>
    <w:rsid w:val="009B5BD4"/>
    <w:rsid w:val="009B7E87"/>
    <w:rsid w:val="009C04DF"/>
    <w:rsid w:val="009C31E4"/>
    <w:rsid w:val="009C403E"/>
    <w:rsid w:val="009C5473"/>
    <w:rsid w:val="009C6794"/>
    <w:rsid w:val="009C6867"/>
    <w:rsid w:val="009D0E10"/>
    <w:rsid w:val="009D22FC"/>
    <w:rsid w:val="009D2800"/>
    <w:rsid w:val="009D290C"/>
    <w:rsid w:val="009D4FF0"/>
    <w:rsid w:val="009D703C"/>
    <w:rsid w:val="009D718F"/>
    <w:rsid w:val="009E0146"/>
    <w:rsid w:val="009E068F"/>
    <w:rsid w:val="009E14E0"/>
    <w:rsid w:val="009E1F9C"/>
    <w:rsid w:val="009E33FC"/>
    <w:rsid w:val="009E35DB"/>
    <w:rsid w:val="009E47A3"/>
    <w:rsid w:val="009E491C"/>
    <w:rsid w:val="009E4AA8"/>
    <w:rsid w:val="009E518A"/>
    <w:rsid w:val="009E5276"/>
    <w:rsid w:val="009E703A"/>
    <w:rsid w:val="009E7679"/>
    <w:rsid w:val="009F08F3"/>
    <w:rsid w:val="009F321E"/>
    <w:rsid w:val="009F344F"/>
    <w:rsid w:val="009F55F2"/>
    <w:rsid w:val="009F5825"/>
    <w:rsid w:val="009F5CCC"/>
    <w:rsid w:val="009F6DEF"/>
    <w:rsid w:val="009F7AFF"/>
    <w:rsid w:val="00A02C19"/>
    <w:rsid w:val="00A0448A"/>
    <w:rsid w:val="00A048A8"/>
    <w:rsid w:val="00A04F49"/>
    <w:rsid w:val="00A06531"/>
    <w:rsid w:val="00A06CC4"/>
    <w:rsid w:val="00A0738C"/>
    <w:rsid w:val="00A102C1"/>
    <w:rsid w:val="00A103B2"/>
    <w:rsid w:val="00A12E3A"/>
    <w:rsid w:val="00A13E54"/>
    <w:rsid w:val="00A1474F"/>
    <w:rsid w:val="00A15C41"/>
    <w:rsid w:val="00A15CAD"/>
    <w:rsid w:val="00A15F7B"/>
    <w:rsid w:val="00A17F63"/>
    <w:rsid w:val="00A2193B"/>
    <w:rsid w:val="00A22208"/>
    <w:rsid w:val="00A2351A"/>
    <w:rsid w:val="00A264A9"/>
    <w:rsid w:val="00A2740F"/>
    <w:rsid w:val="00A27785"/>
    <w:rsid w:val="00A278CF"/>
    <w:rsid w:val="00A27E11"/>
    <w:rsid w:val="00A30187"/>
    <w:rsid w:val="00A31C05"/>
    <w:rsid w:val="00A338C0"/>
    <w:rsid w:val="00A3448A"/>
    <w:rsid w:val="00A34B4C"/>
    <w:rsid w:val="00A36297"/>
    <w:rsid w:val="00A36D41"/>
    <w:rsid w:val="00A3785C"/>
    <w:rsid w:val="00A41E2B"/>
    <w:rsid w:val="00A42835"/>
    <w:rsid w:val="00A454D3"/>
    <w:rsid w:val="00A456E3"/>
    <w:rsid w:val="00A4593B"/>
    <w:rsid w:val="00A45B74"/>
    <w:rsid w:val="00A45C64"/>
    <w:rsid w:val="00A45EAD"/>
    <w:rsid w:val="00A5019F"/>
    <w:rsid w:val="00A512C0"/>
    <w:rsid w:val="00A52BF7"/>
    <w:rsid w:val="00A52E1D"/>
    <w:rsid w:val="00A5300A"/>
    <w:rsid w:val="00A537F9"/>
    <w:rsid w:val="00A573ED"/>
    <w:rsid w:val="00A6036F"/>
    <w:rsid w:val="00A60B50"/>
    <w:rsid w:val="00A61499"/>
    <w:rsid w:val="00A6152C"/>
    <w:rsid w:val="00A62A77"/>
    <w:rsid w:val="00A63483"/>
    <w:rsid w:val="00A645E1"/>
    <w:rsid w:val="00A657D7"/>
    <w:rsid w:val="00A65C95"/>
    <w:rsid w:val="00A660AC"/>
    <w:rsid w:val="00A675FB"/>
    <w:rsid w:val="00A679AF"/>
    <w:rsid w:val="00A67E6C"/>
    <w:rsid w:val="00A70738"/>
    <w:rsid w:val="00A71B99"/>
    <w:rsid w:val="00A72282"/>
    <w:rsid w:val="00A739D0"/>
    <w:rsid w:val="00A748CE"/>
    <w:rsid w:val="00A761D4"/>
    <w:rsid w:val="00A770DC"/>
    <w:rsid w:val="00A77EC4"/>
    <w:rsid w:val="00A811B2"/>
    <w:rsid w:val="00A8159F"/>
    <w:rsid w:val="00A816B5"/>
    <w:rsid w:val="00A8359B"/>
    <w:rsid w:val="00A8428A"/>
    <w:rsid w:val="00A92879"/>
    <w:rsid w:val="00A932E0"/>
    <w:rsid w:val="00A9360B"/>
    <w:rsid w:val="00A9442A"/>
    <w:rsid w:val="00A94B8F"/>
    <w:rsid w:val="00A95714"/>
    <w:rsid w:val="00A96566"/>
    <w:rsid w:val="00A9707E"/>
    <w:rsid w:val="00AA016F"/>
    <w:rsid w:val="00AA0B58"/>
    <w:rsid w:val="00AA10FE"/>
    <w:rsid w:val="00AA1C26"/>
    <w:rsid w:val="00AA1ED6"/>
    <w:rsid w:val="00AA3BFC"/>
    <w:rsid w:val="00AA51D6"/>
    <w:rsid w:val="00AA579A"/>
    <w:rsid w:val="00AB07B1"/>
    <w:rsid w:val="00AB0BC8"/>
    <w:rsid w:val="00AB11CA"/>
    <w:rsid w:val="00AB14D9"/>
    <w:rsid w:val="00AB3A91"/>
    <w:rsid w:val="00AB456B"/>
    <w:rsid w:val="00AB4AB8"/>
    <w:rsid w:val="00AB5E74"/>
    <w:rsid w:val="00AB629A"/>
    <w:rsid w:val="00AB63FE"/>
    <w:rsid w:val="00AB653D"/>
    <w:rsid w:val="00AB655E"/>
    <w:rsid w:val="00AB7B3F"/>
    <w:rsid w:val="00AC007F"/>
    <w:rsid w:val="00AC2135"/>
    <w:rsid w:val="00AC250D"/>
    <w:rsid w:val="00AC2ECD"/>
    <w:rsid w:val="00AC3119"/>
    <w:rsid w:val="00AC32F2"/>
    <w:rsid w:val="00AC3C33"/>
    <w:rsid w:val="00AC440C"/>
    <w:rsid w:val="00AC49FB"/>
    <w:rsid w:val="00AC4C0B"/>
    <w:rsid w:val="00AC5A10"/>
    <w:rsid w:val="00AC6BCE"/>
    <w:rsid w:val="00AC7DFB"/>
    <w:rsid w:val="00AD0AA3"/>
    <w:rsid w:val="00AD1430"/>
    <w:rsid w:val="00AD3F94"/>
    <w:rsid w:val="00AD4678"/>
    <w:rsid w:val="00AD4A5A"/>
    <w:rsid w:val="00AD5CA1"/>
    <w:rsid w:val="00AE27AC"/>
    <w:rsid w:val="00AE3757"/>
    <w:rsid w:val="00AE40E0"/>
    <w:rsid w:val="00AE43AD"/>
    <w:rsid w:val="00AE4DBA"/>
    <w:rsid w:val="00AE4F07"/>
    <w:rsid w:val="00AE5D4D"/>
    <w:rsid w:val="00AE62FE"/>
    <w:rsid w:val="00AE6976"/>
    <w:rsid w:val="00AE72EE"/>
    <w:rsid w:val="00AF0F18"/>
    <w:rsid w:val="00AF142A"/>
    <w:rsid w:val="00AF1BD4"/>
    <w:rsid w:val="00AF1C5D"/>
    <w:rsid w:val="00AF22ED"/>
    <w:rsid w:val="00AF3B84"/>
    <w:rsid w:val="00AF3CD1"/>
    <w:rsid w:val="00AF42D7"/>
    <w:rsid w:val="00AF4B94"/>
    <w:rsid w:val="00AF5EEA"/>
    <w:rsid w:val="00AF66CA"/>
    <w:rsid w:val="00AF7579"/>
    <w:rsid w:val="00B006FE"/>
    <w:rsid w:val="00B007CB"/>
    <w:rsid w:val="00B00DFC"/>
    <w:rsid w:val="00B02801"/>
    <w:rsid w:val="00B02AA9"/>
    <w:rsid w:val="00B02FA3"/>
    <w:rsid w:val="00B03883"/>
    <w:rsid w:val="00B03BD2"/>
    <w:rsid w:val="00B04833"/>
    <w:rsid w:val="00B05084"/>
    <w:rsid w:val="00B06FF0"/>
    <w:rsid w:val="00B157B9"/>
    <w:rsid w:val="00B157F9"/>
    <w:rsid w:val="00B167F1"/>
    <w:rsid w:val="00B20256"/>
    <w:rsid w:val="00B20D09"/>
    <w:rsid w:val="00B21489"/>
    <w:rsid w:val="00B23215"/>
    <w:rsid w:val="00B26795"/>
    <w:rsid w:val="00B2763F"/>
    <w:rsid w:val="00B2782B"/>
    <w:rsid w:val="00B27AAC"/>
    <w:rsid w:val="00B305B7"/>
    <w:rsid w:val="00B3065E"/>
    <w:rsid w:val="00B30929"/>
    <w:rsid w:val="00B33878"/>
    <w:rsid w:val="00B372AA"/>
    <w:rsid w:val="00B37646"/>
    <w:rsid w:val="00B37FE0"/>
    <w:rsid w:val="00B40445"/>
    <w:rsid w:val="00B40C27"/>
    <w:rsid w:val="00B41888"/>
    <w:rsid w:val="00B41BF2"/>
    <w:rsid w:val="00B42777"/>
    <w:rsid w:val="00B43526"/>
    <w:rsid w:val="00B43640"/>
    <w:rsid w:val="00B43A99"/>
    <w:rsid w:val="00B45A52"/>
    <w:rsid w:val="00B45EE8"/>
    <w:rsid w:val="00B46175"/>
    <w:rsid w:val="00B4792B"/>
    <w:rsid w:val="00B505D1"/>
    <w:rsid w:val="00B52051"/>
    <w:rsid w:val="00B53208"/>
    <w:rsid w:val="00B55886"/>
    <w:rsid w:val="00B55F1A"/>
    <w:rsid w:val="00B565E4"/>
    <w:rsid w:val="00B60A44"/>
    <w:rsid w:val="00B60BF6"/>
    <w:rsid w:val="00B6167C"/>
    <w:rsid w:val="00B616C5"/>
    <w:rsid w:val="00B62AAA"/>
    <w:rsid w:val="00B6410B"/>
    <w:rsid w:val="00B64FC9"/>
    <w:rsid w:val="00B65B0A"/>
    <w:rsid w:val="00B66350"/>
    <w:rsid w:val="00B664C7"/>
    <w:rsid w:val="00B66B35"/>
    <w:rsid w:val="00B67426"/>
    <w:rsid w:val="00B674EF"/>
    <w:rsid w:val="00B678E5"/>
    <w:rsid w:val="00B67977"/>
    <w:rsid w:val="00B716BA"/>
    <w:rsid w:val="00B739F6"/>
    <w:rsid w:val="00B74AC0"/>
    <w:rsid w:val="00B76708"/>
    <w:rsid w:val="00B77E93"/>
    <w:rsid w:val="00B803B5"/>
    <w:rsid w:val="00B809A6"/>
    <w:rsid w:val="00B80CE0"/>
    <w:rsid w:val="00B819D2"/>
    <w:rsid w:val="00B81A6C"/>
    <w:rsid w:val="00B833C0"/>
    <w:rsid w:val="00B85DE5"/>
    <w:rsid w:val="00B87046"/>
    <w:rsid w:val="00B872BE"/>
    <w:rsid w:val="00B90291"/>
    <w:rsid w:val="00B904C9"/>
    <w:rsid w:val="00B9093E"/>
    <w:rsid w:val="00B90F73"/>
    <w:rsid w:val="00B92BDE"/>
    <w:rsid w:val="00B93B59"/>
    <w:rsid w:val="00B9406A"/>
    <w:rsid w:val="00B943BD"/>
    <w:rsid w:val="00B97969"/>
    <w:rsid w:val="00BA101D"/>
    <w:rsid w:val="00BA2280"/>
    <w:rsid w:val="00BA2A08"/>
    <w:rsid w:val="00BA2AC3"/>
    <w:rsid w:val="00BA2FFD"/>
    <w:rsid w:val="00BA480A"/>
    <w:rsid w:val="00BA56D2"/>
    <w:rsid w:val="00BA76E0"/>
    <w:rsid w:val="00BB067E"/>
    <w:rsid w:val="00BB0EBB"/>
    <w:rsid w:val="00BB10C3"/>
    <w:rsid w:val="00BB2828"/>
    <w:rsid w:val="00BB2A25"/>
    <w:rsid w:val="00BB51E9"/>
    <w:rsid w:val="00BB5369"/>
    <w:rsid w:val="00BB7660"/>
    <w:rsid w:val="00BC0FDC"/>
    <w:rsid w:val="00BC2916"/>
    <w:rsid w:val="00BC3053"/>
    <w:rsid w:val="00BC3905"/>
    <w:rsid w:val="00BC4D2E"/>
    <w:rsid w:val="00BC575A"/>
    <w:rsid w:val="00BC6FB7"/>
    <w:rsid w:val="00BD15B2"/>
    <w:rsid w:val="00BD3678"/>
    <w:rsid w:val="00BD48A2"/>
    <w:rsid w:val="00BD48AC"/>
    <w:rsid w:val="00BD5F1A"/>
    <w:rsid w:val="00BD71B0"/>
    <w:rsid w:val="00BE00FF"/>
    <w:rsid w:val="00BE058C"/>
    <w:rsid w:val="00BE1234"/>
    <w:rsid w:val="00BE157D"/>
    <w:rsid w:val="00BE18D1"/>
    <w:rsid w:val="00BE230E"/>
    <w:rsid w:val="00BE2BAF"/>
    <w:rsid w:val="00BE2D21"/>
    <w:rsid w:val="00BE2FA6"/>
    <w:rsid w:val="00BE333F"/>
    <w:rsid w:val="00BE4B32"/>
    <w:rsid w:val="00BE537D"/>
    <w:rsid w:val="00BE5C7A"/>
    <w:rsid w:val="00BE7406"/>
    <w:rsid w:val="00BE7603"/>
    <w:rsid w:val="00BF0D1E"/>
    <w:rsid w:val="00BF31F3"/>
    <w:rsid w:val="00BF3279"/>
    <w:rsid w:val="00BF6609"/>
    <w:rsid w:val="00BF7030"/>
    <w:rsid w:val="00BF74C7"/>
    <w:rsid w:val="00BF7AAD"/>
    <w:rsid w:val="00C015F1"/>
    <w:rsid w:val="00C01C6A"/>
    <w:rsid w:val="00C01F33"/>
    <w:rsid w:val="00C02CC6"/>
    <w:rsid w:val="00C02F58"/>
    <w:rsid w:val="00C038F3"/>
    <w:rsid w:val="00C040F7"/>
    <w:rsid w:val="00C041B0"/>
    <w:rsid w:val="00C0420E"/>
    <w:rsid w:val="00C044AB"/>
    <w:rsid w:val="00C05706"/>
    <w:rsid w:val="00C05A4C"/>
    <w:rsid w:val="00C07377"/>
    <w:rsid w:val="00C07BC2"/>
    <w:rsid w:val="00C102BE"/>
    <w:rsid w:val="00C10478"/>
    <w:rsid w:val="00C12107"/>
    <w:rsid w:val="00C12F92"/>
    <w:rsid w:val="00C14D4B"/>
    <w:rsid w:val="00C14E71"/>
    <w:rsid w:val="00C154BB"/>
    <w:rsid w:val="00C16626"/>
    <w:rsid w:val="00C17098"/>
    <w:rsid w:val="00C176D9"/>
    <w:rsid w:val="00C17D0F"/>
    <w:rsid w:val="00C21848"/>
    <w:rsid w:val="00C2563B"/>
    <w:rsid w:val="00C25B09"/>
    <w:rsid w:val="00C279B5"/>
    <w:rsid w:val="00C27C45"/>
    <w:rsid w:val="00C31603"/>
    <w:rsid w:val="00C32440"/>
    <w:rsid w:val="00C327E3"/>
    <w:rsid w:val="00C331F2"/>
    <w:rsid w:val="00C3719D"/>
    <w:rsid w:val="00C4129D"/>
    <w:rsid w:val="00C42000"/>
    <w:rsid w:val="00C437FE"/>
    <w:rsid w:val="00C44421"/>
    <w:rsid w:val="00C459AB"/>
    <w:rsid w:val="00C50281"/>
    <w:rsid w:val="00C505C9"/>
    <w:rsid w:val="00C519BA"/>
    <w:rsid w:val="00C54995"/>
    <w:rsid w:val="00C54D41"/>
    <w:rsid w:val="00C552B5"/>
    <w:rsid w:val="00C57B71"/>
    <w:rsid w:val="00C603DE"/>
    <w:rsid w:val="00C60783"/>
    <w:rsid w:val="00C608B6"/>
    <w:rsid w:val="00C6113B"/>
    <w:rsid w:val="00C62CC4"/>
    <w:rsid w:val="00C63D21"/>
    <w:rsid w:val="00C64672"/>
    <w:rsid w:val="00C66994"/>
    <w:rsid w:val="00C67159"/>
    <w:rsid w:val="00C67DB0"/>
    <w:rsid w:val="00C70232"/>
    <w:rsid w:val="00C70697"/>
    <w:rsid w:val="00C70C94"/>
    <w:rsid w:val="00C718A3"/>
    <w:rsid w:val="00C7284C"/>
    <w:rsid w:val="00C72EF4"/>
    <w:rsid w:val="00C743BB"/>
    <w:rsid w:val="00C75D2F"/>
    <w:rsid w:val="00C767BE"/>
    <w:rsid w:val="00C76963"/>
    <w:rsid w:val="00C76E3C"/>
    <w:rsid w:val="00C77496"/>
    <w:rsid w:val="00C77D0F"/>
    <w:rsid w:val="00C77F5E"/>
    <w:rsid w:val="00C80ACA"/>
    <w:rsid w:val="00C81568"/>
    <w:rsid w:val="00C81821"/>
    <w:rsid w:val="00C81F3E"/>
    <w:rsid w:val="00C83F40"/>
    <w:rsid w:val="00C84D87"/>
    <w:rsid w:val="00C8504F"/>
    <w:rsid w:val="00C853CB"/>
    <w:rsid w:val="00C9027A"/>
    <w:rsid w:val="00C9068E"/>
    <w:rsid w:val="00C91251"/>
    <w:rsid w:val="00C91EC7"/>
    <w:rsid w:val="00C92AE8"/>
    <w:rsid w:val="00C92C95"/>
    <w:rsid w:val="00C92D23"/>
    <w:rsid w:val="00C92E34"/>
    <w:rsid w:val="00C93C4B"/>
    <w:rsid w:val="00C944AB"/>
    <w:rsid w:val="00C95B40"/>
    <w:rsid w:val="00C95D72"/>
    <w:rsid w:val="00C962FD"/>
    <w:rsid w:val="00C96639"/>
    <w:rsid w:val="00CA1ED8"/>
    <w:rsid w:val="00CA21E3"/>
    <w:rsid w:val="00CA2C50"/>
    <w:rsid w:val="00CA3280"/>
    <w:rsid w:val="00CA4D6C"/>
    <w:rsid w:val="00CA59BA"/>
    <w:rsid w:val="00CA5FB0"/>
    <w:rsid w:val="00CA65A8"/>
    <w:rsid w:val="00CA7467"/>
    <w:rsid w:val="00CB158F"/>
    <w:rsid w:val="00CB1F63"/>
    <w:rsid w:val="00CB2B23"/>
    <w:rsid w:val="00CB2DD3"/>
    <w:rsid w:val="00CB3692"/>
    <w:rsid w:val="00CB414D"/>
    <w:rsid w:val="00CB61E0"/>
    <w:rsid w:val="00CB7170"/>
    <w:rsid w:val="00CB7EF6"/>
    <w:rsid w:val="00CC040E"/>
    <w:rsid w:val="00CC111F"/>
    <w:rsid w:val="00CC1D91"/>
    <w:rsid w:val="00CC2011"/>
    <w:rsid w:val="00CC21AF"/>
    <w:rsid w:val="00CC2CD5"/>
    <w:rsid w:val="00CC3EA0"/>
    <w:rsid w:val="00CC54DA"/>
    <w:rsid w:val="00CC5968"/>
    <w:rsid w:val="00CC7B45"/>
    <w:rsid w:val="00CD1188"/>
    <w:rsid w:val="00CD11FE"/>
    <w:rsid w:val="00CD2485"/>
    <w:rsid w:val="00CD2ED1"/>
    <w:rsid w:val="00CD337B"/>
    <w:rsid w:val="00CD3763"/>
    <w:rsid w:val="00CD4EDC"/>
    <w:rsid w:val="00CD52F9"/>
    <w:rsid w:val="00CD68C2"/>
    <w:rsid w:val="00CD71A8"/>
    <w:rsid w:val="00CD73AE"/>
    <w:rsid w:val="00CE0424"/>
    <w:rsid w:val="00CE1269"/>
    <w:rsid w:val="00CE16ED"/>
    <w:rsid w:val="00CE21F6"/>
    <w:rsid w:val="00CE426E"/>
    <w:rsid w:val="00CE4843"/>
    <w:rsid w:val="00CE4A19"/>
    <w:rsid w:val="00CE5295"/>
    <w:rsid w:val="00CE5580"/>
    <w:rsid w:val="00CE574B"/>
    <w:rsid w:val="00CE5BDE"/>
    <w:rsid w:val="00CE7561"/>
    <w:rsid w:val="00CE7657"/>
    <w:rsid w:val="00CE7748"/>
    <w:rsid w:val="00CF1354"/>
    <w:rsid w:val="00CF1FA6"/>
    <w:rsid w:val="00CF382A"/>
    <w:rsid w:val="00CF3B1F"/>
    <w:rsid w:val="00CF3BF6"/>
    <w:rsid w:val="00CF5C4E"/>
    <w:rsid w:val="00CF625B"/>
    <w:rsid w:val="00CF687E"/>
    <w:rsid w:val="00CF7B39"/>
    <w:rsid w:val="00D00CDF"/>
    <w:rsid w:val="00D0349B"/>
    <w:rsid w:val="00D037FF"/>
    <w:rsid w:val="00D04434"/>
    <w:rsid w:val="00D05C4A"/>
    <w:rsid w:val="00D06645"/>
    <w:rsid w:val="00D07B3E"/>
    <w:rsid w:val="00D10249"/>
    <w:rsid w:val="00D10C15"/>
    <w:rsid w:val="00D10C29"/>
    <w:rsid w:val="00D115C3"/>
    <w:rsid w:val="00D11897"/>
    <w:rsid w:val="00D11A21"/>
    <w:rsid w:val="00D11D0E"/>
    <w:rsid w:val="00D1261E"/>
    <w:rsid w:val="00D13135"/>
    <w:rsid w:val="00D13E4E"/>
    <w:rsid w:val="00D142BC"/>
    <w:rsid w:val="00D14C41"/>
    <w:rsid w:val="00D15DEB"/>
    <w:rsid w:val="00D227DE"/>
    <w:rsid w:val="00D239A7"/>
    <w:rsid w:val="00D23F47"/>
    <w:rsid w:val="00D26560"/>
    <w:rsid w:val="00D3005B"/>
    <w:rsid w:val="00D30297"/>
    <w:rsid w:val="00D31227"/>
    <w:rsid w:val="00D31C65"/>
    <w:rsid w:val="00D32DE8"/>
    <w:rsid w:val="00D33E03"/>
    <w:rsid w:val="00D350F3"/>
    <w:rsid w:val="00D36E71"/>
    <w:rsid w:val="00D37D87"/>
    <w:rsid w:val="00D408DB"/>
    <w:rsid w:val="00D40B33"/>
    <w:rsid w:val="00D416A4"/>
    <w:rsid w:val="00D42505"/>
    <w:rsid w:val="00D4318F"/>
    <w:rsid w:val="00D43646"/>
    <w:rsid w:val="00D438BF"/>
    <w:rsid w:val="00D440F8"/>
    <w:rsid w:val="00D44F09"/>
    <w:rsid w:val="00D457C0"/>
    <w:rsid w:val="00D50511"/>
    <w:rsid w:val="00D50B9D"/>
    <w:rsid w:val="00D53400"/>
    <w:rsid w:val="00D538CD"/>
    <w:rsid w:val="00D546FF"/>
    <w:rsid w:val="00D55AD5"/>
    <w:rsid w:val="00D5641C"/>
    <w:rsid w:val="00D56A9B"/>
    <w:rsid w:val="00D573DB"/>
    <w:rsid w:val="00D576CA"/>
    <w:rsid w:val="00D57AEA"/>
    <w:rsid w:val="00D606B9"/>
    <w:rsid w:val="00D60E13"/>
    <w:rsid w:val="00D61AF5"/>
    <w:rsid w:val="00D625D4"/>
    <w:rsid w:val="00D62CD5"/>
    <w:rsid w:val="00D6435F"/>
    <w:rsid w:val="00D652B5"/>
    <w:rsid w:val="00D66155"/>
    <w:rsid w:val="00D708B0"/>
    <w:rsid w:val="00D71A4E"/>
    <w:rsid w:val="00D72130"/>
    <w:rsid w:val="00D7337E"/>
    <w:rsid w:val="00D755CC"/>
    <w:rsid w:val="00D75B4F"/>
    <w:rsid w:val="00D77986"/>
    <w:rsid w:val="00D77B1D"/>
    <w:rsid w:val="00D8021F"/>
    <w:rsid w:val="00D80383"/>
    <w:rsid w:val="00D808C7"/>
    <w:rsid w:val="00D80C63"/>
    <w:rsid w:val="00D823C6"/>
    <w:rsid w:val="00D825D1"/>
    <w:rsid w:val="00D8286F"/>
    <w:rsid w:val="00D8386B"/>
    <w:rsid w:val="00D83CEF"/>
    <w:rsid w:val="00D852A6"/>
    <w:rsid w:val="00D85B16"/>
    <w:rsid w:val="00D86CA3"/>
    <w:rsid w:val="00D87049"/>
    <w:rsid w:val="00D871CE"/>
    <w:rsid w:val="00D87270"/>
    <w:rsid w:val="00D9031D"/>
    <w:rsid w:val="00D90F8A"/>
    <w:rsid w:val="00D9196D"/>
    <w:rsid w:val="00D91BB9"/>
    <w:rsid w:val="00D91E7B"/>
    <w:rsid w:val="00D9253C"/>
    <w:rsid w:val="00D92982"/>
    <w:rsid w:val="00D939CF"/>
    <w:rsid w:val="00D94243"/>
    <w:rsid w:val="00D97786"/>
    <w:rsid w:val="00DA2540"/>
    <w:rsid w:val="00DA305E"/>
    <w:rsid w:val="00DA5007"/>
    <w:rsid w:val="00DA5417"/>
    <w:rsid w:val="00DA56E8"/>
    <w:rsid w:val="00DA75D0"/>
    <w:rsid w:val="00DB0A9F"/>
    <w:rsid w:val="00DB12CA"/>
    <w:rsid w:val="00DB1E0D"/>
    <w:rsid w:val="00DB262A"/>
    <w:rsid w:val="00DB2DB7"/>
    <w:rsid w:val="00DB32F6"/>
    <w:rsid w:val="00DB377D"/>
    <w:rsid w:val="00DB6005"/>
    <w:rsid w:val="00DB7EDE"/>
    <w:rsid w:val="00DC062C"/>
    <w:rsid w:val="00DC2202"/>
    <w:rsid w:val="00DC24A1"/>
    <w:rsid w:val="00DC2537"/>
    <w:rsid w:val="00DC2717"/>
    <w:rsid w:val="00DC2D36"/>
    <w:rsid w:val="00DC4E15"/>
    <w:rsid w:val="00DC53EF"/>
    <w:rsid w:val="00DD0AA4"/>
    <w:rsid w:val="00DD13E7"/>
    <w:rsid w:val="00DD14BE"/>
    <w:rsid w:val="00DD2401"/>
    <w:rsid w:val="00DD2C90"/>
    <w:rsid w:val="00DD31FD"/>
    <w:rsid w:val="00DD3354"/>
    <w:rsid w:val="00DD3BE4"/>
    <w:rsid w:val="00DE0B80"/>
    <w:rsid w:val="00DE0F9F"/>
    <w:rsid w:val="00DE2813"/>
    <w:rsid w:val="00DE31A8"/>
    <w:rsid w:val="00DE39BB"/>
    <w:rsid w:val="00DE3AAB"/>
    <w:rsid w:val="00DE455E"/>
    <w:rsid w:val="00DE4EFE"/>
    <w:rsid w:val="00DE50E1"/>
    <w:rsid w:val="00DE5608"/>
    <w:rsid w:val="00DE58D0"/>
    <w:rsid w:val="00DE5FFC"/>
    <w:rsid w:val="00DE6129"/>
    <w:rsid w:val="00DE654F"/>
    <w:rsid w:val="00DE6E02"/>
    <w:rsid w:val="00DE70F6"/>
    <w:rsid w:val="00DF0B6E"/>
    <w:rsid w:val="00DF15E0"/>
    <w:rsid w:val="00DF169A"/>
    <w:rsid w:val="00DF2875"/>
    <w:rsid w:val="00DF37A0"/>
    <w:rsid w:val="00DF5F5F"/>
    <w:rsid w:val="00DF7E19"/>
    <w:rsid w:val="00E0012A"/>
    <w:rsid w:val="00E00B70"/>
    <w:rsid w:val="00E00FD5"/>
    <w:rsid w:val="00E0431A"/>
    <w:rsid w:val="00E044D6"/>
    <w:rsid w:val="00E04F9A"/>
    <w:rsid w:val="00E05483"/>
    <w:rsid w:val="00E06481"/>
    <w:rsid w:val="00E108D8"/>
    <w:rsid w:val="00E110E7"/>
    <w:rsid w:val="00E114C3"/>
    <w:rsid w:val="00E11A5A"/>
    <w:rsid w:val="00E11B20"/>
    <w:rsid w:val="00E12D5A"/>
    <w:rsid w:val="00E1399F"/>
    <w:rsid w:val="00E15279"/>
    <w:rsid w:val="00E165BB"/>
    <w:rsid w:val="00E17FA2"/>
    <w:rsid w:val="00E203F9"/>
    <w:rsid w:val="00E20B3B"/>
    <w:rsid w:val="00E21F7F"/>
    <w:rsid w:val="00E22089"/>
    <w:rsid w:val="00E22330"/>
    <w:rsid w:val="00E22759"/>
    <w:rsid w:val="00E23150"/>
    <w:rsid w:val="00E23977"/>
    <w:rsid w:val="00E24524"/>
    <w:rsid w:val="00E259C6"/>
    <w:rsid w:val="00E25B19"/>
    <w:rsid w:val="00E269FB"/>
    <w:rsid w:val="00E2760A"/>
    <w:rsid w:val="00E2778A"/>
    <w:rsid w:val="00E27832"/>
    <w:rsid w:val="00E30B5A"/>
    <w:rsid w:val="00E3123D"/>
    <w:rsid w:val="00E31461"/>
    <w:rsid w:val="00E31889"/>
    <w:rsid w:val="00E31D43"/>
    <w:rsid w:val="00E32608"/>
    <w:rsid w:val="00E337E6"/>
    <w:rsid w:val="00E34188"/>
    <w:rsid w:val="00E345CD"/>
    <w:rsid w:val="00E34B6E"/>
    <w:rsid w:val="00E35559"/>
    <w:rsid w:val="00E35901"/>
    <w:rsid w:val="00E3723A"/>
    <w:rsid w:val="00E37860"/>
    <w:rsid w:val="00E42837"/>
    <w:rsid w:val="00E435D0"/>
    <w:rsid w:val="00E446F1"/>
    <w:rsid w:val="00E451D3"/>
    <w:rsid w:val="00E465B4"/>
    <w:rsid w:val="00E46886"/>
    <w:rsid w:val="00E46AE3"/>
    <w:rsid w:val="00E47AEF"/>
    <w:rsid w:val="00E50758"/>
    <w:rsid w:val="00E52C2C"/>
    <w:rsid w:val="00E53314"/>
    <w:rsid w:val="00E534AC"/>
    <w:rsid w:val="00E538C7"/>
    <w:rsid w:val="00E53B75"/>
    <w:rsid w:val="00E54C99"/>
    <w:rsid w:val="00E54D7D"/>
    <w:rsid w:val="00E54E3B"/>
    <w:rsid w:val="00E553FB"/>
    <w:rsid w:val="00E57565"/>
    <w:rsid w:val="00E628B9"/>
    <w:rsid w:val="00E62AEC"/>
    <w:rsid w:val="00E63838"/>
    <w:rsid w:val="00E64182"/>
    <w:rsid w:val="00E64434"/>
    <w:rsid w:val="00E64FAB"/>
    <w:rsid w:val="00E66EA2"/>
    <w:rsid w:val="00E67AF8"/>
    <w:rsid w:val="00E67C51"/>
    <w:rsid w:val="00E70679"/>
    <w:rsid w:val="00E71258"/>
    <w:rsid w:val="00E71339"/>
    <w:rsid w:val="00E7169E"/>
    <w:rsid w:val="00E71AA1"/>
    <w:rsid w:val="00E72462"/>
    <w:rsid w:val="00E729BB"/>
    <w:rsid w:val="00E72EFC"/>
    <w:rsid w:val="00E74883"/>
    <w:rsid w:val="00E7548A"/>
    <w:rsid w:val="00E758EC"/>
    <w:rsid w:val="00E77A9C"/>
    <w:rsid w:val="00E802B5"/>
    <w:rsid w:val="00E80307"/>
    <w:rsid w:val="00E80EB7"/>
    <w:rsid w:val="00E80F98"/>
    <w:rsid w:val="00E8234C"/>
    <w:rsid w:val="00E825C9"/>
    <w:rsid w:val="00E83AA9"/>
    <w:rsid w:val="00E83DFA"/>
    <w:rsid w:val="00E85639"/>
    <w:rsid w:val="00E85928"/>
    <w:rsid w:val="00E87822"/>
    <w:rsid w:val="00E90395"/>
    <w:rsid w:val="00E90D83"/>
    <w:rsid w:val="00E90E49"/>
    <w:rsid w:val="00E910E0"/>
    <w:rsid w:val="00E917F9"/>
    <w:rsid w:val="00E9291C"/>
    <w:rsid w:val="00E93FFE"/>
    <w:rsid w:val="00E94E5F"/>
    <w:rsid w:val="00E94F8A"/>
    <w:rsid w:val="00E9561F"/>
    <w:rsid w:val="00E957CD"/>
    <w:rsid w:val="00EA0515"/>
    <w:rsid w:val="00EA09CF"/>
    <w:rsid w:val="00EA0DC4"/>
    <w:rsid w:val="00EA32D7"/>
    <w:rsid w:val="00EA3C71"/>
    <w:rsid w:val="00EA3FF5"/>
    <w:rsid w:val="00EA53C7"/>
    <w:rsid w:val="00EA5E0E"/>
    <w:rsid w:val="00EA5E26"/>
    <w:rsid w:val="00EA753E"/>
    <w:rsid w:val="00EA7A41"/>
    <w:rsid w:val="00EA7BF8"/>
    <w:rsid w:val="00EB03CF"/>
    <w:rsid w:val="00EB077B"/>
    <w:rsid w:val="00EB0CFB"/>
    <w:rsid w:val="00EB143F"/>
    <w:rsid w:val="00EB4196"/>
    <w:rsid w:val="00EB4B3E"/>
    <w:rsid w:val="00EB4EA2"/>
    <w:rsid w:val="00EB52A3"/>
    <w:rsid w:val="00EB5D9C"/>
    <w:rsid w:val="00EB70B3"/>
    <w:rsid w:val="00EC0026"/>
    <w:rsid w:val="00EC27C6"/>
    <w:rsid w:val="00EC4207"/>
    <w:rsid w:val="00EC5653"/>
    <w:rsid w:val="00EC60B5"/>
    <w:rsid w:val="00EC71CE"/>
    <w:rsid w:val="00ED074F"/>
    <w:rsid w:val="00ED1006"/>
    <w:rsid w:val="00ED1514"/>
    <w:rsid w:val="00ED1D68"/>
    <w:rsid w:val="00ED3F77"/>
    <w:rsid w:val="00ED5693"/>
    <w:rsid w:val="00ED7EB7"/>
    <w:rsid w:val="00EE1FB1"/>
    <w:rsid w:val="00EE3238"/>
    <w:rsid w:val="00EE3349"/>
    <w:rsid w:val="00EE375F"/>
    <w:rsid w:val="00EE5022"/>
    <w:rsid w:val="00EE63D6"/>
    <w:rsid w:val="00EE6463"/>
    <w:rsid w:val="00EE6825"/>
    <w:rsid w:val="00EE6A57"/>
    <w:rsid w:val="00EF18FE"/>
    <w:rsid w:val="00EF46B1"/>
    <w:rsid w:val="00EF5787"/>
    <w:rsid w:val="00EF5D5F"/>
    <w:rsid w:val="00EF5E82"/>
    <w:rsid w:val="00EF60D0"/>
    <w:rsid w:val="00EF6CB7"/>
    <w:rsid w:val="00F02BC2"/>
    <w:rsid w:val="00F0528D"/>
    <w:rsid w:val="00F05890"/>
    <w:rsid w:val="00F05CB8"/>
    <w:rsid w:val="00F06850"/>
    <w:rsid w:val="00F06C67"/>
    <w:rsid w:val="00F06DFD"/>
    <w:rsid w:val="00F071D1"/>
    <w:rsid w:val="00F07533"/>
    <w:rsid w:val="00F10003"/>
    <w:rsid w:val="00F10435"/>
    <w:rsid w:val="00F10629"/>
    <w:rsid w:val="00F11000"/>
    <w:rsid w:val="00F11446"/>
    <w:rsid w:val="00F12182"/>
    <w:rsid w:val="00F12E4E"/>
    <w:rsid w:val="00F14796"/>
    <w:rsid w:val="00F14E2D"/>
    <w:rsid w:val="00F1501C"/>
    <w:rsid w:val="00F15385"/>
    <w:rsid w:val="00F159D3"/>
    <w:rsid w:val="00F15FA5"/>
    <w:rsid w:val="00F209B7"/>
    <w:rsid w:val="00F228F9"/>
    <w:rsid w:val="00F2339B"/>
    <w:rsid w:val="00F2376F"/>
    <w:rsid w:val="00F23BBE"/>
    <w:rsid w:val="00F24305"/>
    <w:rsid w:val="00F243D8"/>
    <w:rsid w:val="00F26849"/>
    <w:rsid w:val="00F27FC5"/>
    <w:rsid w:val="00F30828"/>
    <w:rsid w:val="00F312AC"/>
    <w:rsid w:val="00F313D6"/>
    <w:rsid w:val="00F3231D"/>
    <w:rsid w:val="00F32A8C"/>
    <w:rsid w:val="00F32D77"/>
    <w:rsid w:val="00F337B3"/>
    <w:rsid w:val="00F34213"/>
    <w:rsid w:val="00F3476C"/>
    <w:rsid w:val="00F3550D"/>
    <w:rsid w:val="00F36FC2"/>
    <w:rsid w:val="00F37DDF"/>
    <w:rsid w:val="00F406B2"/>
    <w:rsid w:val="00F40F0C"/>
    <w:rsid w:val="00F44042"/>
    <w:rsid w:val="00F46160"/>
    <w:rsid w:val="00F47512"/>
    <w:rsid w:val="00F4766C"/>
    <w:rsid w:val="00F50410"/>
    <w:rsid w:val="00F507D1"/>
    <w:rsid w:val="00F519CE"/>
    <w:rsid w:val="00F51ADA"/>
    <w:rsid w:val="00F528C0"/>
    <w:rsid w:val="00F54637"/>
    <w:rsid w:val="00F54BFF"/>
    <w:rsid w:val="00F607C5"/>
    <w:rsid w:val="00F60DEA"/>
    <w:rsid w:val="00F62591"/>
    <w:rsid w:val="00F6259B"/>
    <w:rsid w:val="00F6302A"/>
    <w:rsid w:val="00F6411A"/>
    <w:rsid w:val="00F64C2B"/>
    <w:rsid w:val="00F651BE"/>
    <w:rsid w:val="00F658F7"/>
    <w:rsid w:val="00F65D78"/>
    <w:rsid w:val="00F660C1"/>
    <w:rsid w:val="00F67F53"/>
    <w:rsid w:val="00F70248"/>
    <w:rsid w:val="00F703BE"/>
    <w:rsid w:val="00F71F69"/>
    <w:rsid w:val="00F72B72"/>
    <w:rsid w:val="00F744D9"/>
    <w:rsid w:val="00F74BB9"/>
    <w:rsid w:val="00F75582"/>
    <w:rsid w:val="00F75A7F"/>
    <w:rsid w:val="00F76327"/>
    <w:rsid w:val="00F76EFA"/>
    <w:rsid w:val="00F804BE"/>
    <w:rsid w:val="00F817CE"/>
    <w:rsid w:val="00F83DA8"/>
    <w:rsid w:val="00F8456C"/>
    <w:rsid w:val="00F84DB9"/>
    <w:rsid w:val="00F859D8"/>
    <w:rsid w:val="00F868F5"/>
    <w:rsid w:val="00F9056A"/>
    <w:rsid w:val="00F9061A"/>
    <w:rsid w:val="00F90F8D"/>
    <w:rsid w:val="00F910D9"/>
    <w:rsid w:val="00F91859"/>
    <w:rsid w:val="00F918B1"/>
    <w:rsid w:val="00F91C9F"/>
    <w:rsid w:val="00F92625"/>
    <w:rsid w:val="00F92782"/>
    <w:rsid w:val="00F93AA9"/>
    <w:rsid w:val="00F93BD6"/>
    <w:rsid w:val="00F944CC"/>
    <w:rsid w:val="00F9689D"/>
    <w:rsid w:val="00F96985"/>
    <w:rsid w:val="00F96D0D"/>
    <w:rsid w:val="00F97838"/>
    <w:rsid w:val="00FA2790"/>
    <w:rsid w:val="00FA2BB3"/>
    <w:rsid w:val="00FA2CFF"/>
    <w:rsid w:val="00FA2D8B"/>
    <w:rsid w:val="00FA37D9"/>
    <w:rsid w:val="00FA61C1"/>
    <w:rsid w:val="00FA7F50"/>
    <w:rsid w:val="00FB07A3"/>
    <w:rsid w:val="00FB08EF"/>
    <w:rsid w:val="00FB1307"/>
    <w:rsid w:val="00FB1B6E"/>
    <w:rsid w:val="00FB34C4"/>
    <w:rsid w:val="00FB3585"/>
    <w:rsid w:val="00FB4C80"/>
    <w:rsid w:val="00FB5352"/>
    <w:rsid w:val="00FB639A"/>
    <w:rsid w:val="00FB6A6A"/>
    <w:rsid w:val="00FB73EF"/>
    <w:rsid w:val="00FB7AED"/>
    <w:rsid w:val="00FC220F"/>
    <w:rsid w:val="00FC2FE6"/>
    <w:rsid w:val="00FC4AD0"/>
    <w:rsid w:val="00FC7429"/>
    <w:rsid w:val="00FC7475"/>
    <w:rsid w:val="00FD0459"/>
    <w:rsid w:val="00FD07F6"/>
    <w:rsid w:val="00FD0B76"/>
    <w:rsid w:val="00FD1334"/>
    <w:rsid w:val="00FD1EC8"/>
    <w:rsid w:val="00FD3B02"/>
    <w:rsid w:val="00FD3EA8"/>
    <w:rsid w:val="00FD3EBB"/>
    <w:rsid w:val="00FD3FB3"/>
    <w:rsid w:val="00FD47ED"/>
    <w:rsid w:val="00FD5310"/>
    <w:rsid w:val="00FD74DB"/>
    <w:rsid w:val="00FD7660"/>
    <w:rsid w:val="00FE0655"/>
    <w:rsid w:val="00FE07AC"/>
    <w:rsid w:val="00FE1285"/>
    <w:rsid w:val="00FE2365"/>
    <w:rsid w:val="00FE3508"/>
    <w:rsid w:val="00FE4C7B"/>
    <w:rsid w:val="00FE54B8"/>
    <w:rsid w:val="00FE5E5E"/>
    <w:rsid w:val="00FE6100"/>
    <w:rsid w:val="00FE6457"/>
    <w:rsid w:val="00FE7336"/>
    <w:rsid w:val="00FE74C6"/>
    <w:rsid w:val="00FE787C"/>
    <w:rsid w:val="00FF2079"/>
    <w:rsid w:val="00FF45A5"/>
    <w:rsid w:val="00FF5BB9"/>
    <w:rsid w:val="00FF5C91"/>
    <w:rsid w:val="00FF676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303CF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102B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Char"/>
    <w:next w:val="Normal"/>
    <w:link w:val="Heading1Char"/>
    <w:qFormat/>
    <w:rsid w:val="00C102B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Char Char"/>
    <w:basedOn w:val="Heading1"/>
    <w:next w:val="Normal"/>
    <w:qFormat/>
    <w:rsid w:val="00C102BE"/>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C102BE"/>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C102BE"/>
    <w:pPr>
      <w:numPr>
        <w:ilvl w:val="3"/>
      </w:numPr>
      <w:outlineLvl w:val="3"/>
    </w:pPr>
    <w:rPr>
      <w:sz w:val="24"/>
      <w:szCs w:val="24"/>
    </w:rPr>
  </w:style>
  <w:style w:type="paragraph" w:styleId="Heading5">
    <w:name w:val="heading 5"/>
    <w:basedOn w:val="Heading4"/>
    <w:next w:val="Normal"/>
    <w:qFormat/>
    <w:rsid w:val="00C102BE"/>
    <w:pPr>
      <w:numPr>
        <w:ilvl w:val="4"/>
      </w:numPr>
      <w:outlineLvl w:val="4"/>
    </w:pPr>
    <w:rPr>
      <w:sz w:val="22"/>
      <w:szCs w:val="22"/>
    </w:rPr>
  </w:style>
  <w:style w:type="paragraph" w:styleId="Heading6">
    <w:name w:val="heading 6"/>
    <w:basedOn w:val="Normal"/>
    <w:next w:val="Normal"/>
    <w:qFormat/>
    <w:rsid w:val="00C102BE"/>
    <w:pPr>
      <w:keepNext/>
      <w:keepLines/>
      <w:numPr>
        <w:ilvl w:val="5"/>
        <w:numId w:val="1"/>
      </w:numPr>
      <w:spacing w:before="120"/>
      <w:outlineLvl w:val="5"/>
    </w:pPr>
    <w:rPr>
      <w:rFonts w:cs="Arial"/>
    </w:rPr>
  </w:style>
  <w:style w:type="paragraph" w:styleId="Heading7">
    <w:name w:val="heading 7"/>
    <w:basedOn w:val="Normal"/>
    <w:next w:val="Normal"/>
    <w:qFormat/>
    <w:rsid w:val="00C102BE"/>
    <w:pPr>
      <w:keepNext/>
      <w:keepLines/>
      <w:numPr>
        <w:ilvl w:val="6"/>
        <w:numId w:val="1"/>
      </w:numPr>
      <w:spacing w:before="120"/>
      <w:outlineLvl w:val="6"/>
    </w:pPr>
    <w:rPr>
      <w:rFonts w:cs="Arial"/>
    </w:rPr>
  </w:style>
  <w:style w:type="paragraph" w:styleId="Heading8">
    <w:name w:val="heading 8"/>
    <w:basedOn w:val="Heading7"/>
    <w:next w:val="Normal"/>
    <w:qFormat/>
    <w:rsid w:val="00C102BE"/>
    <w:pPr>
      <w:numPr>
        <w:ilvl w:val="7"/>
      </w:numPr>
      <w:outlineLvl w:val="7"/>
    </w:pPr>
  </w:style>
  <w:style w:type="paragraph" w:styleId="Heading9">
    <w:name w:val="heading 9"/>
    <w:basedOn w:val="Heading8"/>
    <w:next w:val="Normal"/>
    <w:qFormat/>
    <w:rsid w:val="00C102B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102BE"/>
    <w:pPr>
      <w:spacing w:before="180"/>
      <w:ind w:left="2693" w:hanging="2693"/>
    </w:pPr>
    <w:rPr>
      <w:b w:val="0"/>
      <w:bCs/>
    </w:rPr>
  </w:style>
  <w:style w:type="paragraph" w:styleId="TOC1">
    <w:name w:val="toc 1"/>
    <w:aliases w:val="Observation TOC2"/>
    <w:uiPriority w:val="39"/>
    <w:rsid w:val="00C102B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C102BE"/>
    <w:pPr>
      <w:keepNext/>
      <w:keepLines/>
      <w:spacing w:before="180"/>
      <w:jc w:val="center"/>
    </w:pPr>
  </w:style>
  <w:style w:type="paragraph" w:styleId="Caption">
    <w:name w:val="caption"/>
    <w:basedOn w:val="Normal"/>
    <w:next w:val="Normal"/>
    <w:qFormat/>
    <w:rsid w:val="00C102BE"/>
    <w:pPr>
      <w:spacing w:after="240"/>
      <w:jc w:val="center"/>
    </w:pPr>
    <w:rPr>
      <w:b/>
      <w:bCs/>
    </w:rPr>
  </w:style>
  <w:style w:type="paragraph" w:styleId="TOC5">
    <w:name w:val="toc 5"/>
    <w:aliases w:val="Observation TOC"/>
    <w:basedOn w:val="TOC4"/>
    <w:semiHidden/>
    <w:rsid w:val="00C102BE"/>
    <w:pPr>
      <w:tabs>
        <w:tab w:val="right" w:pos="1701"/>
      </w:tabs>
      <w:ind w:left="1701" w:hanging="1701"/>
    </w:pPr>
  </w:style>
  <w:style w:type="paragraph" w:styleId="TOC4">
    <w:name w:val="toc 4"/>
    <w:basedOn w:val="TOC3"/>
    <w:semiHidden/>
    <w:rsid w:val="00C102BE"/>
    <w:pPr>
      <w:ind w:left="1418" w:hanging="1418"/>
    </w:pPr>
  </w:style>
  <w:style w:type="paragraph" w:styleId="TOC3">
    <w:name w:val="toc 3"/>
    <w:basedOn w:val="TOC2"/>
    <w:semiHidden/>
    <w:rsid w:val="00C102BE"/>
    <w:pPr>
      <w:ind w:left="1134" w:hanging="1134"/>
    </w:pPr>
  </w:style>
  <w:style w:type="paragraph" w:styleId="TOC2">
    <w:name w:val="toc 2"/>
    <w:basedOn w:val="TOC1"/>
    <w:semiHidden/>
    <w:rsid w:val="00C102BE"/>
    <w:pPr>
      <w:keepNext w:val="0"/>
      <w:spacing w:before="0"/>
      <w:ind w:left="851" w:hanging="851"/>
    </w:pPr>
    <w:rPr>
      <w:szCs w:val="20"/>
    </w:rPr>
  </w:style>
  <w:style w:type="paragraph" w:styleId="Index2">
    <w:name w:val="index 2"/>
    <w:basedOn w:val="Index1"/>
    <w:semiHidden/>
    <w:rsid w:val="00C102BE"/>
    <w:pPr>
      <w:ind w:left="284"/>
    </w:pPr>
  </w:style>
  <w:style w:type="paragraph" w:styleId="Index1">
    <w:name w:val="index 1"/>
    <w:basedOn w:val="Normal"/>
    <w:semiHidden/>
    <w:rsid w:val="00C102BE"/>
    <w:pPr>
      <w:keepLines/>
      <w:spacing w:after="0"/>
    </w:pPr>
  </w:style>
  <w:style w:type="paragraph" w:styleId="DocumentMap">
    <w:name w:val="Document Map"/>
    <w:basedOn w:val="Normal"/>
    <w:semiHidden/>
    <w:rsid w:val="00C102BE"/>
    <w:pPr>
      <w:shd w:val="clear" w:color="auto" w:fill="000080"/>
    </w:pPr>
    <w:rPr>
      <w:rFonts w:ascii="Tahoma" w:hAnsi="Tahoma" w:cs="Tahoma"/>
    </w:rPr>
  </w:style>
  <w:style w:type="paragraph" w:styleId="ListNumber2">
    <w:name w:val="List Number 2"/>
    <w:basedOn w:val="ListNumber"/>
    <w:rsid w:val="00C102BE"/>
    <w:pPr>
      <w:ind w:left="851"/>
    </w:pPr>
  </w:style>
  <w:style w:type="paragraph" w:styleId="ListNumber">
    <w:name w:val="List Number"/>
    <w:basedOn w:val="List"/>
    <w:rsid w:val="00C102BE"/>
  </w:style>
  <w:style w:type="paragraph" w:styleId="List">
    <w:name w:val="List"/>
    <w:basedOn w:val="Normal"/>
    <w:rsid w:val="00C102BE"/>
    <w:pPr>
      <w:ind w:left="568" w:hanging="284"/>
    </w:pPr>
  </w:style>
  <w:style w:type="paragraph" w:styleId="Header">
    <w:name w:val="header"/>
    <w:link w:val="HeaderChar"/>
    <w:rsid w:val="00C102B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C102BE"/>
    <w:rPr>
      <w:b/>
      <w:bCs/>
      <w:position w:val="6"/>
      <w:sz w:val="16"/>
      <w:szCs w:val="16"/>
    </w:rPr>
  </w:style>
  <w:style w:type="paragraph" w:styleId="FootnoteText">
    <w:name w:val="footnote text"/>
    <w:basedOn w:val="Normal"/>
    <w:semiHidden/>
    <w:rsid w:val="00C102BE"/>
    <w:pPr>
      <w:keepLines/>
      <w:spacing w:after="0"/>
      <w:ind w:left="454" w:hanging="454"/>
    </w:pPr>
    <w:rPr>
      <w:sz w:val="16"/>
      <w:szCs w:val="16"/>
    </w:rPr>
  </w:style>
  <w:style w:type="paragraph" w:customStyle="1" w:styleId="3GPPHeader">
    <w:name w:val="3GPP_Header"/>
    <w:basedOn w:val="Normal"/>
    <w:rsid w:val="00C102BE"/>
    <w:pPr>
      <w:tabs>
        <w:tab w:val="left" w:pos="1701"/>
        <w:tab w:val="right" w:pos="9639"/>
      </w:tabs>
      <w:spacing w:after="240"/>
    </w:pPr>
    <w:rPr>
      <w:b/>
      <w:sz w:val="24"/>
    </w:rPr>
  </w:style>
  <w:style w:type="paragraph" w:styleId="TOC9">
    <w:name w:val="toc 9"/>
    <w:basedOn w:val="TOC8"/>
    <w:semiHidden/>
    <w:rsid w:val="00C102BE"/>
    <w:pPr>
      <w:ind w:left="1418" w:hanging="1418"/>
    </w:pPr>
  </w:style>
  <w:style w:type="paragraph" w:styleId="TOC6">
    <w:name w:val="toc 6"/>
    <w:basedOn w:val="TOC5"/>
    <w:next w:val="Normal"/>
    <w:semiHidden/>
    <w:rsid w:val="00C102BE"/>
    <w:pPr>
      <w:ind w:left="1985" w:hanging="1985"/>
    </w:pPr>
  </w:style>
  <w:style w:type="paragraph" w:styleId="TOC7">
    <w:name w:val="toc 7"/>
    <w:basedOn w:val="TOC6"/>
    <w:next w:val="Normal"/>
    <w:semiHidden/>
    <w:rsid w:val="00C102BE"/>
    <w:pPr>
      <w:ind w:left="2268" w:hanging="2268"/>
    </w:pPr>
  </w:style>
  <w:style w:type="paragraph" w:styleId="ListBullet2">
    <w:name w:val="List Bullet 2"/>
    <w:basedOn w:val="ListBullet"/>
    <w:rsid w:val="00C102BE"/>
    <w:pPr>
      <w:numPr>
        <w:numId w:val="6"/>
      </w:numPr>
    </w:pPr>
  </w:style>
  <w:style w:type="paragraph" w:styleId="ListBullet">
    <w:name w:val="List Bullet"/>
    <w:basedOn w:val="BodyText"/>
    <w:rsid w:val="00C102BE"/>
    <w:pPr>
      <w:numPr>
        <w:numId w:val="5"/>
      </w:numPr>
    </w:pPr>
  </w:style>
  <w:style w:type="paragraph" w:styleId="ListBullet3">
    <w:name w:val="List Bullet 3"/>
    <w:basedOn w:val="ListBullet2"/>
    <w:rsid w:val="00C102BE"/>
    <w:pPr>
      <w:numPr>
        <w:numId w:val="7"/>
      </w:numPr>
    </w:pPr>
  </w:style>
  <w:style w:type="paragraph" w:customStyle="1" w:styleId="EQ">
    <w:name w:val="EQ"/>
    <w:basedOn w:val="Normal"/>
    <w:next w:val="Normal"/>
    <w:rsid w:val="00C102BE"/>
    <w:pPr>
      <w:keepLines/>
      <w:tabs>
        <w:tab w:val="center" w:pos="4536"/>
        <w:tab w:val="right" w:pos="9072"/>
      </w:tabs>
      <w:spacing w:after="180"/>
      <w:jc w:val="left"/>
    </w:pPr>
    <w:rPr>
      <w:noProof/>
      <w:lang w:eastAsia="en-US"/>
    </w:rPr>
  </w:style>
  <w:style w:type="paragraph" w:styleId="List2">
    <w:name w:val="List 2"/>
    <w:basedOn w:val="List"/>
    <w:rsid w:val="00C102BE"/>
    <w:pPr>
      <w:ind w:left="851"/>
    </w:pPr>
  </w:style>
  <w:style w:type="paragraph" w:styleId="List3">
    <w:name w:val="List 3"/>
    <w:basedOn w:val="List2"/>
    <w:rsid w:val="00C102BE"/>
    <w:pPr>
      <w:ind w:left="1135"/>
    </w:pPr>
  </w:style>
  <w:style w:type="paragraph" w:styleId="List4">
    <w:name w:val="List 4"/>
    <w:basedOn w:val="List3"/>
    <w:rsid w:val="00C102BE"/>
    <w:pPr>
      <w:ind w:left="1418"/>
    </w:pPr>
  </w:style>
  <w:style w:type="paragraph" w:styleId="List5">
    <w:name w:val="List 5"/>
    <w:basedOn w:val="List4"/>
    <w:rsid w:val="00C102BE"/>
    <w:pPr>
      <w:ind w:left="1702"/>
    </w:pPr>
  </w:style>
  <w:style w:type="paragraph" w:customStyle="1" w:styleId="EditorsNote">
    <w:name w:val="Editor's Note"/>
    <w:basedOn w:val="Normal"/>
    <w:rsid w:val="00C102BE"/>
    <w:pPr>
      <w:keepLines/>
      <w:spacing w:after="180"/>
      <w:ind w:left="1135" w:hanging="851"/>
      <w:jc w:val="left"/>
    </w:pPr>
    <w:rPr>
      <w:color w:val="FF0000"/>
      <w:lang w:eastAsia="en-US"/>
    </w:rPr>
  </w:style>
  <w:style w:type="paragraph" w:styleId="ListBullet4">
    <w:name w:val="List Bullet 4"/>
    <w:basedOn w:val="ListBullet3"/>
    <w:rsid w:val="00C102BE"/>
    <w:pPr>
      <w:numPr>
        <w:numId w:val="8"/>
      </w:numPr>
    </w:pPr>
  </w:style>
  <w:style w:type="paragraph" w:styleId="ListBullet5">
    <w:name w:val="List Bullet 5"/>
    <w:basedOn w:val="ListBullet4"/>
    <w:rsid w:val="00C102BE"/>
    <w:pPr>
      <w:numPr>
        <w:numId w:val="4"/>
      </w:numPr>
    </w:pPr>
  </w:style>
  <w:style w:type="paragraph" w:styleId="Footer">
    <w:name w:val="footer"/>
    <w:basedOn w:val="Header"/>
    <w:semiHidden/>
    <w:rsid w:val="00C102BE"/>
    <w:pPr>
      <w:jc w:val="center"/>
    </w:pPr>
    <w:rPr>
      <w:i/>
      <w:iCs/>
    </w:rPr>
  </w:style>
  <w:style w:type="paragraph" w:customStyle="1" w:styleId="Reference">
    <w:name w:val="Reference"/>
    <w:basedOn w:val="Normal"/>
    <w:rsid w:val="00C102BE"/>
    <w:pPr>
      <w:numPr>
        <w:numId w:val="2"/>
      </w:numPr>
    </w:pPr>
  </w:style>
  <w:style w:type="paragraph" w:styleId="BalloonText">
    <w:name w:val="Balloon Text"/>
    <w:basedOn w:val="Normal"/>
    <w:semiHidden/>
    <w:rsid w:val="00C102BE"/>
    <w:rPr>
      <w:rFonts w:ascii="Tahoma" w:hAnsi="Tahoma" w:cs="Tahoma"/>
      <w:sz w:val="16"/>
      <w:szCs w:val="16"/>
    </w:rPr>
  </w:style>
  <w:style w:type="character" w:styleId="PageNumber">
    <w:name w:val="page number"/>
    <w:basedOn w:val="DefaultParagraphFont"/>
    <w:semiHidden/>
    <w:rsid w:val="00C102BE"/>
  </w:style>
  <w:style w:type="paragraph" w:styleId="BodyText">
    <w:name w:val="Body Text"/>
    <w:basedOn w:val="Normal"/>
    <w:link w:val="BodyTextChar"/>
    <w:rsid w:val="00C102BE"/>
  </w:style>
  <w:style w:type="character" w:styleId="Hyperlink">
    <w:name w:val="Hyperlink"/>
    <w:uiPriority w:val="99"/>
    <w:rsid w:val="00C102BE"/>
    <w:rPr>
      <w:color w:val="0000FF"/>
      <w:u w:val="single"/>
      <w:lang w:val="en-GB"/>
    </w:rPr>
  </w:style>
  <w:style w:type="character" w:styleId="FollowedHyperlink">
    <w:name w:val="FollowedHyperlink"/>
    <w:semiHidden/>
    <w:rsid w:val="00C102BE"/>
    <w:rPr>
      <w:color w:val="FF0000"/>
      <w:u w:val="single"/>
    </w:rPr>
  </w:style>
  <w:style w:type="character" w:styleId="CommentReference">
    <w:name w:val="annotation reference"/>
    <w:semiHidden/>
    <w:rsid w:val="00C102BE"/>
    <w:rPr>
      <w:sz w:val="16"/>
      <w:szCs w:val="16"/>
    </w:rPr>
  </w:style>
  <w:style w:type="paragraph" w:styleId="CommentText">
    <w:name w:val="annotation text"/>
    <w:basedOn w:val="Normal"/>
    <w:link w:val="CommentTextChar"/>
    <w:semiHidden/>
    <w:rsid w:val="00C102BE"/>
  </w:style>
  <w:style w:type="paragraph" w:styleId="CommentSubject">
    <w:name w:val="annotation subject"/>
    <w:basedOn w:val="CommentText"/>
    <w:next w:val="CommentText"/>
    <w:semiHidden/>
    <w:rsid w:val="00C102BE"/>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102BE"/>
    <w:rPr>
      <w:rFonts w:ascii="Arial" w:hAnsi="Arial" w:cs="Arial"/>
      <w:sz w:val="36"/>
      <w:szCs w:val="36"/>
      <w:lang w:val="en-GB" w:eastAsia="zh-CN"/>
    </w:rPr>
  </w:style>
  <w:style w:type="paragraph" w:customStyle="1" w:styleId="B1">
    <w:name w:val="B1"/>
    <w:basedOn w:val="List"/>
    <w:link w:val="B1Char"/>
    <w:rsid w:val="00C102BE"/>
    <w:pPr>
      <w:spacing w:after="180"/>
      <w:jc w:val="left"/>
    </w:pPr>
    <w:rPr>
      <w:lang w:eastAsia="en-US"/>
    </w:rPr>
  </w:style>
  <w:style w:type="paragraph" w:customStyle="1" w:styleId="B2">
    <w:name w:val="B2"/>
    <w:basedOn w:val="List2"/>
    <w:link w:val="B2Car"/>
    <w:rsid w:val="00C102BE"/>
    <w:pPr>
      <w:spacing w:after="180"/>
      <w:jc w:val="left"/>
    </w:pPr>
    <w:rPr>
      <w:lang w:eastAsia="en-US"/>
    </w:rPr>
  </w:style>
  <w:style w:type="paragraph" w:customStyle="1" w:styleId="B3">
    <w:name w:val="B3"/>
    <w:basedOn w:val="List3"/>
    <w:link w:val="B3Char"/>
    <w:rsid w:val="00C102BE"/>
    <w:pPr>
      <w:spacing w:after="180"/>
      <w:jc w:val="left"/>
    </w:pPr>
    <w:rPr>
      <w:lang w:eastAsia="en-US"/>
    </w:rPr>
  </w:style>
  <w:style w:type="paragraph" w:customStyle="1" w:styleId="B4">
    <w:name w:val="B4"/>
    <w:basedOn w:val="List4"/>
    <w:link w:val="B4Char"/>
    <w:rsid w:val="00C102BE"/>
    <w:pPr>
      <w:spacing w:after="180"/>
      <w:jc w:val="left"/>
    </w:pPr>
    <w:rPr>
      <w:lang w:eastAsia="en-US"/>
    </w:rPr>
  </w:style>
  <w:style w:type="paragraph" w:customStyle="1" w:styleId="Proposal">
    <w:name w:val="Proposal"/>
    <w:basedOn w:val="Normal"/>
    <w:rsid w:val="00C102BE"/>
    <w:pPr>
      <w:numPr>
        <w:numId w:val="3"/>
      </w:numPr>
      <w:tabs>
        <w:tab w:val="clear" w:pos="1304"/>
        <w:tab w:val="left" w:pos="1701"/>
      </w:tabs>
      <w:ind w:left="1701" w:hanging="1701"/>
    </w:pPr>
    <w:rPr>
      <w:b/>
      <w:bCs/>
    </w:rPr>
  </w:style>
  <w:style w:type="character" w:customStyle="1" w:styleId="BodyTextChar">
    <w:name w:val="Body Text Char"/>
    <w:link w:val="BodyText"/>
    <w:rsid w:val="00C102BE"/>
    <w:rPr>
      <w:rFonts w:ascii="Arial" w:hAnsi="Arial"/>
      <w:lang w:val="en-GB" w:eastAsia="zh-CN"/>
    </w:rPr>
  </w:style>
  <w:style w:type="paragraph" w:customStyle="1" w:styleId="B5">
    <w:name w:val="B5"/>
    <w:basedOn w:val="List5"/>
    <w:rsid w:val="00C102BE"/>
    <w:pPr>
      <w:spacing w:after="180"/>
      <w:jc w:val="left"/>
    </w:pPr>
    <w:rPr>
      <w:lang w:eastAsia="en-US"/>
    </w:rPr>
  </w:style>
  <w:style w:type="paragraph" w:customStyle="1" w:styleId="EX">
    <w:name w:val="EX"/>
    <w:basedOn w:val="Normal"/>
    <w:rsid w:val="00C102BE"/>
    <w:pPr>
      <w:keepLines/>
      <w:spacing w:after="180"/>
      <w:ind w:left="1702" w:hanging="1418"/>
      <w:jc w:val="left"/>
    </w:pPr>
    <w:rPr>
      <w:lang w:eastAsia="en-US"/>
    </w:rPr>
  </w:style>
  <w:style w:type="paragraph" w:customStyle="1" w:styleId="EW">
    <w:name w:val="EW"/>
    <w:basedOn w:val="EX"/>
    <w:rsid w:val="00C102BE"/>
    <w:pPr>
      <w:spacing w:after="0"/>
    </w:pPr>
  </w:style>
  <w:style w:type="paragraph" w:customStyle="1" w:styleId="TAL">
    <w:name w:val="TAL"/>
    <w:basedOn w:val="Normal"/>
    <w:rsid w:val="00C102BE"/>
    <w:pPr>
      <w:keepNext/>
      <w:keepLines/>
      <w:spacing w:after="0"/>
      <w:jc w:val="left"/>
    </w:pPr>
    <w:rPr>
      <w:sz w:val="18"/>
      <w:lang w:eastAsia="en-US"/>
    </w:rPr>
  </w:style>
  <w:style w:type="paragraph" w:customStyle="1" w:styleId="TAC">
    <w:name w:val="TAC"/>
    <w:basedOn w:val="TAL"/>
    <w:rsid w:val="00C102BE"/>
    <w:pPr>
      <w:jc w:val="center"/>
    </w:pPr>
  </w:style>
  <w:style w:type="paragraph" w:customStyle="1" w:styleId="TAH">
    <w:name w:val="TAH"/>
    <w:basedOn w:val="TAC"/>
    <w:rsid w:val="00C102BE"/>
    <w:rPr>
      <w:b/>
    </w:rPr>
  </w:style>
  <w:style w:type="paragraph" w:customStyle="1" w:styleId="TAN">
    <w:name w:val="TAN"/>
    <w:basedOn w:val="TAL"/>
    <w:rsid w:val="00C102BE"/>
    <w:pPr>
      <w:ind w:left="851" w:hanging="851"/>
    </w:pPr>
  </w:style>
  <w:style w:type="paragraph" w:customStyle="1" w:styleId="TAR">
    <w:name w:val="TAR"/>
    <w:basedOn w:val="TAL"/>
    <w:rsid w:val="00C102BE"/>
    <w:pPr>
      <w:jc w:val="right"/>
    </w:pPr>
  </w:style>
  <w:style w:type="paragraph" w:customStyle="1" w:styleId="TH">
    <w:name w:val="TH"/>
    <w:basedOn w:val="Normal"/>
    <w:rsid w:val="00C102BE"/>
    <w:pPr>
      <w:keepNext/>
      <w:keepLines/>
      <w:spacing w:before="60" w:after="180"/>
      <w:jc w:val="center"/>
    </w:pPr>
    <w:rPr>
      <w:b/>
      <w:lang w:eastAsia="en-US"/>
    </w:rPr>
  </w:style>
  <w:style w:type="paragraph" w:customStyle="1" w:styleId="TF">
    <w:name w:val="TF"/>
    <w:basedOn w:val="TH"/>
    <w:rsid w:val="00C102BE"/>
    <w:pPr>
      <w:keepNext w:val="0"/>
      <w:spacing w:before="0" w:after="240"/>
    </w:pPr>
  </w:style>
  <w:style w:type="paragraph" w:customStyle="1" w:styleId="TT">
    <w:name w:val="TT"/>
    <w:basedOn w:val="Heading1"/>
    <w:next w:val="Normal"/>
    <w:rsid w:val="00C102BE"/>
    <w:pPr>
      <w:numPr>
        <w:numId w:val="0"/>
      </w:numPr>
      <w:ind w:left="1134" w:hanging="1134"/>
      <w:outlineLvl w:val="9"/>
    </w:pPr>
    <w:rPr>
      <w:rFonts w:cs="Times New Roman"/>
      <w:szCs w:val="20"/>
      <w:lang w:eastAsia="en-US"/>
    </w:rPr>
  </w:style>
  <w:style w:type="paragraph" w:customStyle="1" w:styleId="ZA">
    <w:name w:val="ZA"/>
    <w:rsid w:val="00C102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102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102B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C102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C102BE"/>
  </w:style>
  <w:style w:type="paragraph" w:customStyle="1" w:styleId="ZH">
    <w:name w:val="ZH"/>
    <w:rsid w:val="00C102B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C102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C102BE"/>
    <w:pPr>
      <w:framePr w:hRule="auto" w:wrap="notBeside" w:y="852"/>
    </w:pPr>
    <w:rPr>
      <w:i w:val="0"/>
      <w:sz w:val="40"/>
    </w:rPr>
  </w:style>
  <w:style w:type="paragraph" w:customStyle="1" w:styleId="ZU">
    <w:name w:val="ZU"/>
    <w:rsid w:val="00C102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102BE"/>
    <w:pPr>
      <w:framePr w:wrap="notBeside" w:y="16161"/>
    </w:pPr>
  </w:style>
  <w:style w:type="paragraph" w:customStyle="1" w:styleId="FP">
    <w:name w:val="FP"/>
    <w:basedOn w:val="Normal"/>
    <w:rsid w:val="00C102BE"/>
    <w:pPr>
      <w:spacing w:after="0"/>
      <w:jc w:val="left"/>
    </w:pPr>
    <w:rPr>
      <w:lang w:eastAsia="en-US"/>
    </w:rPr>
  </w:style>
  <w:style w:type="paragraph" w:customStyle="1" w:styleId="Observation">
    <w:name w:val="Observation"/>
    <w:basedOn w:val="Proposal"/>
    <w:qFormat/>
    <w:rsid w:val="00C102BE"/>
    <w:pPr>
      <w:numPr>
        <w:numId w:val="13"/>
      </w:numPr>
      <w:ind w:left="1701" w:hanging="1701"/>
    </w:pPr>
  </w:style>
  <w:style w:type="paragraph" w:styleId="TableofFigures">
    <w:name w:val="table of figures"/>
    <w:basedOn w:val="Normal"/>
    <w:next w:val="Normal"/>
    <w:uiPriority w:val="99"/>
    <w:rsid w:val="00C102BE"/>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LightList-Accent31">
    <w:name w:val="Light List - Accent 31"/>
    <w:hidden/>
    <w:uiPriority w:val="99"/>
    <w:semiHidden/>
    <w:rsid w:val="00E71AA1"/>
    <w:rPr>
      <w:rFonts w:ascii="Arial" w:hAnsi="Arial"/>
      <w:lang w:val="en-GB" w:eastAsia="zh-CN"/>
    </w:rPr>
  </w:style>
  <w:style w:type="paragraph" w:customStyle="1" w:styleId="LightGrid-Accent31">
    <w:name w:val="Light Grid - Accent 31"/>
    <w:basedOn w:val="Normal"/>
    <w:uiPriority w:val="34"/>
    <w:qFormat/>
    <w:rsid w:val="00B819D2"/>
    <w:pPr>
      <w:overflowPunct/>
      <w:autoSpaceDE/>
      <w:autoSpaceDN/>
      <w:adjustRightInd/>
      <w:spacing w:after="0"/>
      <w:ind w:left="720"/>
      <w:jc w:val="left"/>
      <w:textAlignment w:val="auto"/>
    </w:pPr>
    <w:rPr>
      <w:rFonts w:ascii="Calibri" w:eastAsia="SimSun" w:hAnsi="Calibri"/>
      <w:sz w:val="22"/>
      <w:szCs w:val="22"/>
      <w:lang w:val="sv-SE"/>
    </w:rPr>
  </w:style>
  <w:style w:type="paragraph" w:customStyle="1" w:styleId="IvDInstructiontext">
    <w:name w:val="IvD Instructiontext"/>
    <w:basedOn w:val="BodyText"/>
    <w:link w:val="IvDInstructiontextChar"/>
    <w:uiPriority w:val="99"/>
    <w:qFormat/>
    <w:rsid w:val="00C01C6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C01C6A"/>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C01C6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C01C6A"/>
    <w:rPr>
      <w:rFonts w:ascii="Arial" w:hAnsi="Arial"/>
      <w:spacing w:val="2"/>
      <w:lang w:val="en-US" w:eastAsia="en-US"/>
    </w:rPr>
  </w:style>
  <w:style w:type="paragraph" w:customStyle="1" w:styleId="Pro">
    <w:name w:val="Pro"/>
    <w:basedOn w:val="Normal"/>
    <w:qFormat/>
    <w:rsid w:val="00731BAB"/>
  </w:style>
  <w:style w:type="character" w:customStyle="1" w:styleId="B1Char">
    <w:name w:val="B1 Char"/>
    <w:link w:val="B1"/>
    <w:locked/>
    <w:rsid w:val="00BE18D1"/>
    <w:rPr>
      <w:rFonts w:ascii="Arial" w:hAnsi="Arial"/>
      <w:lang w:val="en-GB" w:eastAsia="en-US"/>
    </w:rPr>
  </w:style>
  <w:style w:type="paragraph" w:customStyle="1" w:styleId="Doc-text2">
    <w:name w:val="Doc-text2"/>
    <w:basedOn w:val="Normal"/>
    <w:link w:val="Doc-text2Char"/>
    <w:qFormat/>
    <w:rsid w:val="005756B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756B5"/>
    <w:rPr>
      <w:rFonts w:ascii="Arial" w:eastAsia="MS Mincho" w:hAnsi="Arial"/>
      <w:szCs w:val="24"/>
      <w:lang w:val="en-GB" w:eastAsia="en-GB"/>
    </w:rPr>
  </w:style>
  <w:style w:type="paragraph" w:styleId="Revision">
    <w:name w:val="Revision"/>
    <w:hidden/>
    <w:uiPriority w:val="71"/>
    <w:semiHidden/>
    <w:rsid w:val="00AE3757"/>
    <w:rPr>
      <w:rFonts w:ascii="Arial" w:hAnsi="Arial"/>
      <w:lang w:val="en-GB" w:eastAsia="zh-CN"/>
    </w:rPr>
  </w:style>
  <w:style w:type="table" w:styleId="TableGrid">
    <w:name w:val="Table Grid"/>
    <w:basedOn w:val="TableNormal"/>
    <w:rsid w:val="00BE5C7A"/>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32D77"/>
    <w:pPr>
      <w:ind w:left="720"/>
      <w:contextualSpacing/>
    </w:pPr>
  </w:style>
  <w:style w:type="paragraph" w:customStyle="1" w:styleId="NO">
    <w:name w:val="NO"/>
    <w:basedOn w:val="Normal"/>
    <w:rsid w:val="00564922"/>
    <w:pPr>
      <w:keepLines/>
      <w:overflowPunct/>
      <w:autoSpaceDE/>
      <w:autoSpaceDN/>
      <w:adjustRightInd/>
      <w:spacing w:after="180"/>
      <w:ind w:left="1135" w:hanging="851"/>
      <w:jc w:val="left"/>
      <w:textAlignment w:val="auto"/>
    </w:pPr>
    <w:rPr>
      <w:rFonts w:ascii="Times New Roman" w:eastAsia="MS Mincho" w:hAnsi="Times New Roman"/>
      <w:lang w:eastAsia="en-US"/>
    </w:rPr>
  </w:style>
  <w:style w:type="character" w:customStyle="1" w:styleId="B1Zchn">
    <w:name w:val="B1 Zchn"/>
    <w:basedOn w:val="DefaultParagraphFont"/>
    <w:locked/>
    <w:rsid w:val="00564922"/>
    <w:rPr>
      <w:rFonts w:ascii="Arial" w:eastAsia="SimSun" w:hAnsi="Arial" w:cs="Arial"/>
      <w:color w:val="0000FF"/>
      <w:kern w:val="2"/>
      <w:lang w:val="en-GB" w:eastAsia="en-US" w:bidi="ar-SA"/>
    </w:rPr>
  </w:style>
  <w:style w:type="character" w:customStyle="1" w:styleId="B2Car">
    <w:name w:val="B2 Car"/>
    <w:link w:val="B2"/>
    <w:locked/>
    <w:rsid w:val="00565C59"/>
    <w:rPr>
      <w:rFonts w:ascii="Arial" w:hAnsi="Arial"/>
      <w:lang w:val="en-GB" w:eastAsia="en-US"/>
    </w:rPr>
  </w:style>
  <w:style w:type="character" w:customStyle="1" w:styleId="B2Char">
    <w:name w:val="B2 Char"/>
    <w:rsid w:val="00123067"/>
    <w:rPr>
      <w:lang w:val="en-GB"/>
    </w:rPr>
  </w:style>
  <w:style w:type="character" w:customStyle="1" w:styleId="B3Char">
    <w:name w:val="B3 Char"/>
    <w:link w:val="B3"/>
    <w:rsid w:val="00123067"/>
    <w:rPr>
      <w:rFonts w:ascii="Arial" w:hAnsi="Arial"/>
      <w:lang w:val="en-GB" w:eastAsia="en-US"/>
    </w:rPr>
  </w:style>
  <w:style w:type="character" w:customStyle="1" w:styleId="B4Char">
    <w:name w:val="B4 Char"/>
    <w:link w:val="B4"/>
    <w:rsid w:val="00123067"/>
    <w:rPr>
      <w:rFonts w:ascii="Arial" w:hAnsi="Arial"/>
      <w:lang w:val="en-GB" w:eastAsia="en-US"/>
    </w:rPr>
  </w:style>
  <w:style w:type="character" w:customStyle="1" w:styleId="CommentTextChar">
    <w:name w:val="Comment Text Char"/>
    <w:basedOn w:val="DefaultParagraphFont"/>
    <w:link w:val="CommentText"/>
    <w:semiHidden/>
    <w:rsid w:val="00856B4C"/>
    <w:rPr>
      <w:rFonts w:ascii="Arial" w:hAnsi="Arial"/>
      <w:lang w:val="en-GB" w:eastAsia="zh-CN"/>
    </w:rPr>
  </w:style>
  <w:style w:type="character" w:customStyle="1" w:styleId="HeaderChar">
    <w:name w:val="Header Char"/>
    <w:link w:val="Header"/>
    <w:rsid w:val="000F3585"/>
    <w:rPr>
      <w:rFonts w:ascii="Arial" w:hAnsi="Arial" w:cs="Arial"/>
      <w:b/>
      <w:bCs/>
      <w:noProof/>
      <w:sz w:val="18"/>
      <w:szCs w:val="18"/>
      <w:lang w:val="en-US" w:eastAsia="zh-CN"/>
    </w:rPr>
  </w:style>
  <w:style w:type="paragraph" w:customStyle="1" w:styleId="a">
    <w:name w:val="插图题注"/>
    <w:basedOn w:val="Normal"/>
    <w:rsid w:val="0068665D"/>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rsid w:val="0068665D"/>
    <w:pPr>
      <w:overflowPunct/>
      <w:autoSpaceDE/>
      <w:autoSpaceDN/>
      <w:adjustRightInd/>
      <w:spacing w:after="180"/>
      <w:jc w:val="left"/>
      <w:textAlignment w:val="auto"/>
    </w:pPr>
    <w:rPr>
      <w:rFonts w:ascii="Times New Roman" w:eastAsia="SimSu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14939">
      <w:bodyDiv w:val="1"/>
      <w:marLeft w:val="0"/>
      <w:marRight w:val="0"/>
      <w:marTop w:val="0"/>
      <w:marBottom w:val="0"/>
      <w:divBdr>
        <w:top w:val="none" w:sz="0" w:space="0" w:color="auto"/>
        <w:left w:val="none" w:sz="0" w:space="0" w:color="auto"/>
        <w:bottom w:val="none" w:sz="0" w:space="0" w:color="auto"/>
        <w:right w:val="none" w:sz="0" w:space="0" w:color="auto"/>
      </w:divBdr>
    </w:div>
    <w:div w:id="387999405">
      <w:bodyDiv w:val="1"/>
      <w:marLeft w:val="0"/>
      <w:marRight w:val="0"/>
      <w:marTop w:val="0"/>
      <w:marBottom w:val="0"/>
      <w:divBdr>
        <w:top w:val="none" w:sz="0" w:space="0" w:color="auto"/>
        <w:left w:val="none" w:sz="0" w:space="0" w:color="auto"/>
        <w:bottom w:val="none" w:sz="0" w:space="0" w:color="auto"/>
        <w:right w:val="none" w:sz="0" w:space="0" w:color="auto"/>
      </w:divBdr>
    </w:div>
    <w:div w:id="418866304">
      <w:bodyDiv w:val="1"/>
      <w:marLeft w:val="0"/>
      <w:marRight w:val="0"/>
      <w:marTop w:val="0"/>
      <w:marBottom w:val="0"/>
      <w:divBdr>
        <w:top w:val="none" w:sz="0" w:space="0" w:color="auto"/>
        <w:left w:val="none" w:sz="0" w:space="0" w:color="auto"/>
        <w:bottom w:val="none" w:sz="0" w:space="0" w:color="auto"/>
        <w:right w:val="none" w:sz="0" w:space="0" w:color="auto"/>
      </w:divBdr>
    </w:div>
    <w:div w:id="456876795">
      <w:bodyDiv w:val="1"/>
      <w:marLeft w:val="0"/>
      <w:marRight w:val="0"/>
      <w:marTop w:val="0"/>
      <w:marBottom w:val="0"/>
      <w:divBdr>
        <w:top w:val="none" w:sz="0" w:space="0" w:color="auto"/>
        <w:left w:val="none" w:sz="0" w:space="0" w:color="auto"/>
        <w:bottom w:val="none" w:sz="0" w:space="0" w:color="auto"/>
        <w:right w:val="none" w:sz="0" w:space="0" w:color="auto"/>
      </w:divBdr>
    </w:div>
    <w:div w:id="510724050">
      <w:bodyDiv w:val="1"/>
      <w:marLeft w:val="0"/>
      <w:marRight w:val="0"/>
      <w:marTop w:val="0"/>
      <w:marBottom w:val="0"/>
      <w:divBdr>
        <w:top w:val="none" w:sz="0" w:space="0" w:color="auto"/>
        <w:left w:val="none" w:sz="0" w:space="0" w:color="auto"/>
        <w:bottom w:val="none" w:sz="0" w:space="0" w:color="auto"/>
        <w:right w:val="none" w:sz="0" w:space="0" w:color="auto"/>
      </w:divBdr>
    </w:div>
    <w:div w:id="570579207">
      <w:bodyDiv w:val="1"/>
      <w:marLeft w:val="0"/>
      <w:marRight w:val="0"/>
      <w:marTop w:val="0"/>
      <w:marBottom w:val="0"/>
      <w:divBdr>
        <w:top w:val="none" w:sz="0" w:space="0" w:color="auto"/>
        <w:left w:val="none" w:sz="0" w:space="0" w:color="auto"/>
        <w:bottom w:val="none" w:sz="0" w:space="0" w:color="auto"/>
        <w:right w:val="none" w:sz="0" w:space="0" w:color="auto"/>
      </w:divBdr>
      <w:divsChild>
        <w:div w:id="483473324">
          <w:marLeft w:val="274"/>
          <w:marRight w:val="0"/>
          <w:marTop w:val="96"/>
          <w:marBottom w:val="0"/>
          <w:divBdr>
            <w:top w:val="none" w:sz="0" w:space="0" w:color="auto"/>
            <w:left w:val="none" w:sz="0" w:space="0" w:color="auto"/>
            <w:bottom w:val="none" w:sz="0" w:space="0" w:color="auto"/>
            <w:right w:val="none" w:sz="0" w:space="0" w:color="auto"/>
          </w:divBdr>
        </w:div>
        <w:div w:id="548108591">
          <w:marLeft w:val="274"/>
          <w:marRight w:val="0"/>
          <w:marTop w:val="96"/>
          <w:marBottom w:val="0"/>
          <w:divBdr>
            <w:top w:val="none" w:sz="0" w:space="0" w:color="auto"/>
            <w:left w:val="none" w:sz="0" w:space="0" w:color="auto"/>
            <w:bottom w:val="none" w:sz="0" w:space="0" w:color="auto"/>
            <w:right w:val="none" w:sz="0" w:space="0" w:color="auto"/>
          </w:divBdr>
        </w:div>
        <w:div w:id="768231522">
          <w:marLeft w:val="835"/>
          <w:marRight w:val="0"/>
          <w:marTop w:val="86"/>
          <w:marBottom w:val="0"/>
          <w:divBdr>
            <w:top w:val="none" w:sz="0" w:space="0" w:color="auto"/>
            <w:left w:val="none" w:sz="0" w:space="0" w:color="auto"/>
            <w:bottom w:val="none" w:sz="0" w:space="0" w:color="auto"/>
            <w:right w:val="none" w:sz="0" w:space="0" w:color="auto"/>
          </w:divBdr>
        </w:div>
        <w:div w:id="923756845">
          <w:marLeft w:val="274"/>
          <w:marRight w:val="0"/>
          <w:marTop w:val="96"/>
          <w:marBottom w:val="0"/>
          <w:divBdr>
            <w:top w:val="none" w:sz="0" w:space="0" w:color="auto"/>
            <w:left w:val="none" w:sz="0" w:space="0" w:color="auto"/>
            <w:bottom w:val="none" w:sz="0" w:space="0" w:color="auto"/>
            <w:right w:val="none" w:sz="0" w:space="0" w:color="auto"/>
          </w:divBdr>
        </w:div>
        <w:div w:id="1246572841">
          <w:marLeft w:val="835"/>
          <w:marRight w:val="0"/>
          <w:marTop w:val="77"/>
          <w:marBottom w:val="0"/>
          <w:divBdr>
            <w:top w:val="none" w:sz="0" w:space="0" w:color="auto"/>
            <w:left w:val="none" w:sz="0" w:space="0" w:color="auto"/>
            <w:bottom w:val="none" w:sz="0" w:space="0" w:color="auto"/>
            <w:right w:val="none" w:sz="0" w:space="0" w:color="auto"/>
          </w:divBdr>
        </w:div>
        <w:div w:id="1811481899">
          <w:marLeft w:val="274"/>
          <w:marRight w:val="0"/>
          <w:marTop w:val="96"/>
          <w:marBottom w:val="0"/>
          <w:divBdr>
            <w:top w:val="none" w:sz="0" w:space="0" w:color="auto"/>
            <w:left w:val="none" w:sz="0" w:space="0" w:color="auto"/>
            <w:bottom w:val="none" w:sz="0" w:space="0" w:color="auto"/>
            <w:right w:val="none" w:sz="0" w:space="0" w:color="auto"/>
          </w:divBdr>
        </w:div>
      </w:divsChild>
    </w:div>
    <w:div w:id="590087838">
      <w:bodyDiv w:val="1"/>
      <w:marLeft w:val="0"/>
      <w:marRight w:val="0"/>
      <w:marTop w:val="0"/>
      <w:marBottom w:val="0"/>
      <w:divBdr>
        <w:top w:val="none" w:sz="0" w:space="0" w:color="auto"/>
        <w:left w:val="none" w:sz="0" w:space="0" w:color="auto"/>
        <w:bottom w:val="none" w:sz="0" w:space="0" w:color="auto"/>
        <w:right w:val="none" w:sz="0" w:space="0" w:color="auto"/>
      </w:divBdr>
    </w:div>
    <w:div w:id="1030758304">
      <w:bodyDiv w:val="1"/>
      <w:marLeft w:val="0"/>
      <w:marRight w:val="0"/>
      <w:marTop w:val="0"/>
      <w:marBottom w:val="0"/>
      <w:divBdr>
        <w:top w:val="none" w:sz="0" w:space="0" w:color="auto"/>
        <w:left w:val="none" w:sz="0" w:space="0" w:color="auto"/>
        <w:bottom w:val="none" w:sz="0" w:space="0" w:color="auto"/>
        <w:right w:val="none" w:sz="0" w:space="0" w:color="auto"/>
      </w:divBdr>
    </w:div>
    <w:div w:id="1088773205">
      <w:bodyDiv w:val="1"/>
      <w:marLeft w:val="0"/>
      <w:marRight w:val="0"/>
      <w:marTop w:val="0"/>
      <w:marBottom w:val="0"/>
      <w:divBdr>
        <w:top w:val="none" w:sz="0" w:space="0" w:color="auto"/>
        <w:left w:val="none" w:sz="0" w:space="0" w:color="auto"/>
        <w:bottom w:val="none" w:sz="0" w:space="0" w:color="auto"/>
        <w:right w:val="none" w:sz="0" w:space="0" w:color="auto"/>
      </w:divBdr>
    </w:div>
    <w:div w:id="1139768692">
      <w:bodyDiv w:val="1"/>
      <w:marLeft w:val="0"/>
      <w:marRight w:val="0"/>
      <w:marTop w:val="0"/>
      <w:marBottom w:val="0"/>
      <w:divBdr>
        <w:top w:val="none" w:sz="0" w:space="0" w:color="auto"/>
        <w:left w:val="none" w:sz="0" w:space="0" w:color="auto"/>
        <w:bottom w:val="none" w:sz="0" w:space="0" w:color="auto"/>
        <w:right w:val="none" w:sz="0" w:space="0" w:color="auto"/>
      </w:divBdr>
    </w:div>
    <w:div w:id="1205602274">
      <w:bodyDiv w:val="1"/>
      <w:marLeft w:val="0"/>
      <w:marRight w:val="0"/>
      <w:marTop w:val="0"/>
      <w:marBottom w:val="0"/>
      <w:divBdr>
        <w:top w:val="none" w:sz="0" w:space="0" w:color="auto"/>
        <w:left w:val="none" w:sz="0" w:space="0" w:color="auto"/>
        <w:bottom w:val="none" w:sz="0" w:space="0" w:color="auto"/>
        <w:right w:val="none" w:sz="0" w:space="0" w:color="auto"/>
      </w:divBdr>
    </w:div>
    <w:div w:id="1241604063">
      <w:bodyDiv w:val="1"/>
      <w:marLeft w:val="0"/>
      <w:marRight w:val="0"/>
      <w:marTop w:val="0"/>
      <w:marBottom w:val="0"/>
      <w:divBdr>
        <w:top w:val="none" w:sz="0" w:space="0" w:color="auto"/>
        <w:left w:val="none" w:sz="0" w:space="0" w:color="auto"/>
        <w:bottom w:val="none" w:sz="0" w:space="0" w:color="auto"/>
        <w:right w:val="none" w:sz="0" w:space="0" w:color="auto"/>
      </w:divBdr>
    </w:div>
    <w:div w:id="1266574693">
      <w:bodyDiv w:val="1"/>
      <w:marLeft w:val="0"/>
      <w:marRight w:val="0"/>
      <w:marTop w:val="0"/>
      <w:marBottom w:val="0"/>
      <w:divBdr>
        <w:top w:val="none" w:sz="0" w:space="0" w:color="auto"/>
        <w:left w:val="none" w:sz="0" w:space="0" w:color="auto"/>
        <w:bottom w:val="none" w:sz="0" w:space="0" w:color="auto"/>
        <w:right w:val="none" w:sz="0" w:space="0" w:color="auto"/>
      </w:divBdr>
    </w:div>
    <w:div w:id="1274946519">
      <w:bodyDiv w:val="1"/>
      <w:marLeft w:val="0"/>
      <w:marRight w:val="0"/>
      <w:marTop w:val="0"/>
      <w:marBottom w:val="0"/>
      <w:divBdr>
        <w:top w:val="none" w:sz="0" w:space="0" w:color="auto"/>
        <w:left w:val="none" w:sz="0" w:space="0" w:color="auto"/>
        <w:bottom w:val="none" w:sz="0" w:space="0" w:color="auto"/>
        <w:right w:val="none" w:sz="0" w:space="0" w:color="auto"/>
      </w:divBdr>
    </w:div>
    <w:div w:id="1281689673">
      <w:bodyDiv w:val="1"/>
      <w:marLeft w:val="0"/>
      <w:marRight w:val="0"/>
      <w:marTop w:val="0"/>
      <w:marBottom w:val="0"/>
      <w:divBdr>
        <w:top w:val="none" w:sz="0" w:space="0" w:color="auto"/>
        <w:left w:val="none" w:sz="0" w:space="0" w:color="auto"/>
        <w:bottom w:val="none" w:sz="0" w:space="0" w:color="auto"/>
        <w:right w:val="none" w:sz="0" w:space="0" w:color="auto"/>
      </w:divBdr>
    </w:div>
    <w:div w:id="1315256425">
      <w:bodyDiv w:val="1"/>
      <w:marLeft w:val="0"/>
      <w:marRight w:val="0"/>
      <w:marTop w:val="0"/>
      <w:marBottom w:val="0"/>
      <w:divBdr>
        <w:top w:val="none" w:sz="0" w:space="0" w:color="auto"/>
        <w:left w:val="none" w:sz="0" w:space="0" w:color="auto"/>
        <w:bottom w:val="none" w:sz="0" w:space="0" w:color="auto"/>
        <w:right w:val="none" w:sz="0" w:space="0" w:color="auto"/>
      </w:divBdr>
      <w:divsChild>
        <w:div w:id="174808345">
          <w:marLeft w:val="274"/>
          <w:marRight w:val="0"/>
          <w:marTop w:val="115"/>
          <w:marBottom w:val="0"/>
          <w:divBdr>
            <w:top w:val="none" w:sz="0" w:space="0" w:color="auto"/>
            <w:left w:val="none" w:sz="0" w:space="0" w:color="auto"/>
            <w:bottom w:val="none" w:sz="0" w:space="0" w:color="auto"/>
            <w:right w:val="none" w:sz="0" w:space="0" w:color="auto"/>
          </w:divBdr>
        </w:div>
        <w:div w:id="576210502">
          <w:marLeft w:val="835"/>
          <w:marRight w:val="0"/>
          <w:marTop w:val="96"/>
          <w:marBottom w:val="0"/>
          <w:divBdr>
            <w:top w:val="none" w:sz="0" w:space="0" w:color="auto"/>
            <w:left w:val="none" w:sz="0" w:space="0" w:color="auto"/>
            <w:bottom w:val="none" w:sz="0" w:space="0" w:color="auto"/>
            <w:right w:val="none" w:sz="0" w:space="0" w:color="auto"/>
          </w:divBdr>
        </w:div>
        <w:div w:id="962032984">
          <w:marLeft w:val="835"/>
          <w:marRight w:val="0"/>
          <w:marTop w:val="96"/>
          <w:marBottom w:val="0"/>
          <w:divBdr>
            <w:top w:val="none" w:sz="0" w:space="0" w:color="auto"/>
            <w:left w:val="none" w:sz="0" w:space="0" w:color="auto"/>
            <w:bottom w:val="none" w:sz="0" w:space="0" w:color="auto"/>
            <w:right w:val="none" w:sz="0" w:space="0" w:color="auto"/>
          </w:divBdr>
        </w:div>
        <w:div w:id="1043216810">
          <w:marLeft w:val="835"/>
          <w:marRight w:val="0"/>
          <w:marTop w:val="96"/>
          <w:marBottom w:val="0"/>
          <w:divBdr>
            <w:top w:val="none" w:sz="0" w:space="0" w:color="auto"/>
            <w:left w:val="none" w:sz="0" w:space="0" w:color="auto"/>
            <w:bottom w:val="none" w:sz="0" w:space="0" w:color="auto"/>
            <w:right w:val="none" w:sz="0" w:space="0" w:color="auto"/>
          </w:divBdr>
        </w:div>
        <w:div w:id="1400713099">
          <w:marLeft w:val="274"/>
          <w:marRight w:val="0"/>
          <w:marTop w:val="115"/>
          <w:marBottom w:val="0"/>
          <w:divBdr>
            <w:top w:val="none" w:sz="0" w:space="0" w:color="auto"/>
            <w:left w:val="none" w:sz="0" w:space="0" w:color="auto"/>
            <w:bottom w:val="none" w:sz="0" w:space="0" w:color="auto"/>
            <w:right w:val="none" w:sz="0" w:space="0" w:color="auto"/>
          </w:divBdr>
        </w:div>
        <w:div w:id="2036081658">
          <w:marLeft w:val="274"/>
          <w:marRight w:val="0"/>
          <w:marTop w:val="115"/>
          <w:marBottom w:val="0"/>
          <w:divBdr>
            <w:top w:val="none" w:sz="0" w:space="0" w:color="auto"/>
            <w:left w:val="none" w:sz="0" w:space="0" w:color="auto"/>
            <w:bottom w:val="none" w:sz="0" w:space="0" w:color="auto"/>
            <w:right w:val="none" w:sz="0" w:space="0" w:color="auto"/>
          </w:divBdr>
        </w:div>
      </w:divsChild>
    </w:div>
    <w:div w:id="1371759229">
      <w:bodyDiv w:val="1"/>
      <w:marLeft w:val="0"/>
      <w:marRight w:val="0"/>
      <w:marTop w:val="0"/>
      <w:marBottom w:val="0"/>
      <w:divBdr>
        <w:top w:val="none" w:sz="0" w:space="0" w:color="auto"/>
        <w:left w:val="none" w:sz="0" w:space="0" w:color="auto"/>
        <w:bottom w:val="none" w:sz="0" w:space="0" w:color="auto"/>
        <w:right w:val="none" w:sz="0" w:space="0" w:color="auto"/>
      </w:divBdr>
    </w:div>
    <w:div w:id="1495491158">
      <w:bodyDiv w:val="1"/>
      <w:marLeft w:val="0"/>
      <w:marRight w:val="0"/>
      <w:marTop w:val="0"/>
      <w:marBottom w:val="0"/>
      <w:divBdr>
        <w:top w:val="none" w:sz="0" w:space="0" w:color="auto"/>
        <w:left w:val="none" w:sz="0" w:space="0" w:color="auto"/>
        <w:bottom w:val="none" w:sz="0" w:space="0" w:color="auto"/>
        <w:right w:val="none" w:sz="0" w:space="0" w:color="auto"/>
      </w:divBdr>
    </w:div>
    <w:div w:id="1585912901">
      <w:bodyDiv w:val="1"/>
      <w:marLeft w:val="0"/>
      <w:marRight w:val="0"/>
      <w:marTop w:val="0"/>
      <w:marBottom w:val="0"/>
      <w:divBdr>
        <w:top w:val="none" w:sz="0" w:space="0" w:color="auto"/>
        <w:left w:val="none" w:sz="0" w:space="0" w:color="auto"/>
        <w:bottom w:val="none" w:sz="0" w:space="0" w:color="auto"/>
        <w:right w:val="none" w:sz="0" w:space="0" w:color="auto"/>
      </w:divBdr>
      <w:divsChild>
        <w:div w:id="175770920">
          <w:marLeft w:val="274"/>
          <w:marRight w:val="0"/>
          <w:marTop w:val="115"/>
          <w:marBottom w:val="0"/>
          <w:divBdr>
            <w:top w:val="none" w:sz="0" w:space="0" w:color="auto"/>
            <w:left w:val="none" w:sz="0" w:space="0" w:color="auto"/>
            <w:bottom w:val="none" w:sz="0" w:space="0" w:color="auto"/>
            <w:right w:val="none" w:sz="0" w:space="0" w:color="auto"/>
          </w:divBdr>
        </w:div>
        <w:div w:id="442186450">
          <w:marLeft w:val="835"/>
          <w:marRight w:val="0"/>
          <w:marTop w:val="96"/>
          <w:marBottom w:val="0"/>
          <w:divBdr>
            <w:top w:val="none" w:sz="0" w:space="0" w:color="auto"/>
            <w:left w:val="none" w:sz="0" w:space="0" w:color="auto"/>
            <w:bottom w:val="none" w:sz="0" w:space="0" w:color="auto"/>
            <w:right w:val="none" w:sz="0" w:space="0" w:color="auto"/>
          </w:divBdr>
        </w:div>
        <w:div w:id="1984309120">
          <w:marLeft w:val="1411"/>
          <w:marRight w:val="0"/>
          <w:marTop w:val="96"/>
          <w:marBottom w:val="0"/>
          <w:divBdr>
            <w:top w:val="none" w:sz="0" w:space="0" w:color="auto"/>
            <w:left w:val="none" w:sz="0" w:space="0" w:color="auto"/>
            <w:bottom w:val="none" w:sz="0" w:space="0" w:color="auto"/>
            <w:right w:val="none" w:sz="0" w:space="0" w:color="auto"/>
          </w:divBdr>
        </w:div>
        <w:div w:id="2089619617">
          <w:marLeft w:val="835"/>
          <w:marRight w:val="0"/>
          <w:marTop w:val="96"/>
          <w:marBottom w:val="0"/>
          <w:divBdr>
            <w:top w:val="none" w:sz="0" w:space="0" w:color="auto"/>
            <w:left w:val="none" w:sz="0" w:space="0" w:color="auto"/>
            <w:bottom w:val="none" w:sz="0" w:space="0" w:color="auto"/>
            <w:right w:val="none" w:sz="0" w:space="0" w:color="auto"/>
          </w:divBdr>
        </w:div>
      </w:divsChild>
    </w:div>
    <w:div w:id="1599824013">
      <w:bodyDiv w:val="1"/>
      <w:marLeft w:val="0"/>
      <w:marRight w:val="0"/>
      <w:marTop w:val="0"/>
      <w:marBottom w:val="0"/>
      <w:divBdr>
        <w:top w:val="none" w:sz="0" w:space="0" w:color="auto"/>
        <w:left w:val="none" w:sz="0" w:space="0" w:color="auto"/>
        <w:bottom w:val="none" w:sz="0" w:space="0" w:color="auto"/>
        <w:right w:val="none" w:sz="0" w:space="0" w:color="auto"/>
      </w:divBdr>
    </w:div>
    <w:div w:id="1766881378">
      <w:bodyDiv w:val="1"/>
      <w:marLeft w:val="0"/>
      <w:marRight w:val="0"/>
      <w:marTop w:val="0"/>
      <w:marBottom w:val="0"/>
      <w:divBdr>
        <w:top w:val="none" w:sz="0" w:space="0" w:color="auto"/>
        <w:left w:val="none" w:sz="0" w:space="0" w:color="auto"/>
        <w:bottom w:val="none" w:sz="0" w:space="0" w:color="auto"/>
        <w:right w:val="none" w:sz="0" w:space="0" w:color="auto"/>
      </w:divBdr>
    </w:div>
    <w:div w:id="1795520805">
      <w:bodyDiv w:val="1"/>
      <w:marLeft w:val="0"/>
      <w:marRight w:val="0"/>
      <w:marTop w:val="0"/>
      <w:marBottom w:val="0"/>
      <w:divBdr>
        <w:top w:val="none" w:sz="0" w:space="0" w:color="auto"/>
        <w:left w:val="none" w:sz="0" w:space="0" w:color="auto"/>
        <w:bottom w:val="none" w:sz="0" w:space="0" w:color="auto"/>
        <w:right w:val="none" w:sz="0" w:space="0" w:color="auto"/>
      </w:divBdr>
    </w:div>
    <w:div w:id="1987859261">
      <w:bodyDiv w:val="1"/>
      <w:marLeft w:val="0"/>
      <w:marRight w:val="0"/>
      <w:marTop w:val="0"/>
      <w:marBottom w:val="0"/>
      <w:divBdr>
        <w:top w:val="none" w:sz="0" w:space="0" w:color="auto"/>
        <w:left w:val="none" w:sz="0" w:space="0" w:color="auto"/>
        <w:bottom w:val="none" w:sz="0" w:space="0" w:color="auto"/>
        <w:right w:val="none" w:sz="0" w:space="0" w:color="auto"/>
      </w:divBdr>
    </w:div>
    <w:div w:id="2075659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 Id="rId9" Type="http://schemas.openxmlformats.org/officeDocument/2006/relationships/styles" Target="styles.xml"/><Relationship Id="rId10"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TaxKeywordTaxHTField"><![CDATA[Ericsson|11111111-1111-1111-1111-111111111111;TDoc|11111111-1111-1111-1111-111111111111;NR|11111111-1111-1111-1111-111111111111;Scheduling|11111111-1111-1111-1111-111111111111;3GPP|11111111-1111-1111-1111-111111111111;MAC|11111111-1111-1111-1111-111111111111;up|11111111-1111-1111-1111-111111111111]]></LongProp>
</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82</Value>
      <Value>10</Value>
      <Value>8</Value>
      <Value>9</Value>
      <Value>100</Value>
      <Value>2</Value>
      <Value>118</Value>
      <Value>117</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MAC</TermName>
          <TermId xmlns="http://schemas.microsoft.com/office/infopath/2007/PartnerControls">3f738cdc-f215-4a33-b766-14880b973699</TermId>
        </TermInfo>
        <TermInfo xmlns="http://schemas.microsoft.com/office/infopath/2007/PartnerControls">
          <TermName xmlns="http://schemas.microsoft.com/office/infopath/2007/PartnerControls">NR</TermName>
          <TermId xmlns="http://schemas.microsoft.com/office/infopath/2007/PartnerControls">7b72ee01-8348-4904-90db-1cf7b18d5474</TermId>
        </TermInfo>
        <TermInfo xmlns="http://schemas.microsoft.com/office/infopath/2007/PartnerControls">
          <TermName xmlns="http://schemas.microsoft.com/office/infopath/2007/PartnerControls">Scheduling</TermName>
          <TermId xmlns="http://schemas.microsoft.com/office/infopath/2007/PartnerControls">97554e01-9e86-4026-9f27-4e4b9212ec86</TermId>
        </TermInfo>
        <TermInfo xmlns="http://schemas.microsoft.com/office/infopath/2007/PartnerControls">
          <TermName xmlns="http://schemas.microsoft.com/office/infopath/2007/PartnerControls">up</TermName>
          <TermId xmlns="http://schemas.microsoft.com/office/infopath/2007/PartnerControls">dad9d10c-46b1-49ae-93b5-a589838d0090</TermId>
        </TermInfo>
      </Terms>
    </TaxKeywordTaxHTField>
    <EriCOLLCustomerTaxHTField0 xmlns="08b2df90-05d3-4030-90d4-c9feeb4a1cd9">
      <Terms xmlns="http://schemas.microsoft.com/office/infopath/2007/PartnerControls"/>
    </EriCOLLCustomerTaxHTField0>
    <_dlc_DocId xmlns="08b2df90-05d3-4030-90d4-c9feeb4a1cd9">5NUHHDQN7SK2-1-178275</_dlc_DocId>
    <_dlc_DocIdUrl xmlns="08b2df90-05d3-4030-90d4-c9feeb4a1cd9">
      <Url>https://ericoll.internal.ericsson.com/sites/star/_layouts/DocIdRedir.aspx?ID=5NUHHDQN7SK2-1-178275</Url>
      <Description>5NUHHDQN7SK2-1-178275</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84CBE-D65C-4DFC-9BB4-C67DCD109C0F}">
  <ds:schemaRefs>
    <ds:schemaRef ds:uri="http://schemas.microsoft.com/sharepoint/v3/contenttype/forms"/>
  </ds:schemaRefs>
</ds:datastoreItem>
</file>

<file path=customXml/itemProps2.xml><?xml version="1.0" encoding="utf-8"?>
<ds:datastoreItem xmlns:ds="http://schemas.openxmlformats.org/officeDocument/2006/customXml" ds:itemID="{01CF89CF-15AB-432D-BE4A-323B83856366}">
  <ds:schemaRefs>
    <ds:schemaRef ds:uri="http://schemas.microsoft.com/sharepoint/events"/>
  </ds:schemaRefs>
</ds:datastoreItem>
</file>

<file path=customXml/itemProps3.xml><?xml version="1.0" encoding="utf-8"?>
<ds:datastoreItem xmlns:ds="http://schemas.openxmlformats.org/officeDocument/2006/customXml" ds:itemID="{AA93CEE3-03D7-441E-B22C-282D3950E5EC}">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CC5AAA52-1BD5-4C35-A4C5-6B758A5C75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DC735C-0730-49EB-9945-421F2161BE48}">
  <ds:schemaRefs>
    <ds:schemaRef ds:uri="Microsoft.SharePoint.Taxonomy.ContentTypeSync"/>
  </ds:schemaRefs>
</ds:datastoreItem>
</file>

<file path=customXml/itemProps6.xml><?xml version="1.0" encoding="utf-8"?>
<ds:datastoreItem xmlns:ds="http://schemas.openxmlformats.org/officeDocument/2006/customXml" ds:itemID="{FF135285-4BC0-4BAB-84E7-67EB2D4FEBF1}">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7.xml><?xml version="1.0" encoding="utf-8"?>
<ds:datastoreItem xmlns:ds="http://schemas.openxmlformats.org/officeDocument/2006/customXml" ds:itemID="{11E8C066-CE4E-7949-8E0D-E143D4B32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476</TotalTime>
  <Pages>3</Pages>
  <Words>1328</Words>
  <Characters>6564</Characters>
  <Application>Microsoft Macintosh Word</Application>
  <DocSecurity>0</DocSecurity>
  <Lines>115</Lines>
  <Paragraphs>68</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7824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Ericsson; TDoc; NR; Scheduling; 3GPP; MAC; up</cp:keywords>
  <cp:lastModifiedBy/>
  <cp:revision>125</cp:revision>
  <cp:lastPrinted>2017-05-29T12:22:00Z</cp:lastPrinted>
  <dcterms:created xsi:type="dcterms:W3CDTF">2017-06-16T15:22:00Z</dcterms:created>
  <dcterms:modified xsi:type="dcterms:W3CDTF">2017-08-11T19:43:00Z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2016-08-08T22:00:00Z</vt:filetime>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10;#3GPP|6a3890dd-b3c6-4ee1-9283-043167dd414d;#9;#TDoc|b7cb4b2e-7c24-4f9d-967d-e29f765ecb8a;#8;#Ericsson|c60ff206-3dbb-4410-a86e-50fd188c386c;#117;#MAC|3f738cdc-f215-4a33-b766-14880b973699;#82;#NR|7b72ee01-8348-4904-90db-1cf7b18d5474;#118;#Scheduling|9755</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0x010100BB337192E63E44A7A744CE7393F41F4E00FC0FCE182CC02C499F00CC069FCD5A25</vt:lpwstr>
  </property>
  <property fmtid="{D5CDD505-2E9C-101B-9397-08002B2CF9AE}" pid="13" name="_dlc_DocIdItemGuid">
    <vt:lpwstr>d65cbb83-724f-43f5-a666-d814c8ea2b4c</vt:lpwstr>
  </property>
</Properties>
</file>